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4FC" w:rsidRPr="00525FB2" w:rsidRDefault="002B04FC" w:rsidP="002B04FC">
      <w:pPr>
        <w:pStyle w:val="Title"/>
        <w:jc w:val="left"/>
        <w:rPr>
          <w:rFonts w:ascii="Verdana" w:hAnsi="Verdana"/>
          <w:sz w:val="28"/>
          <w:szCs w:val="28"/>
        </w:rPr>
      </w:pPr>
      <w:proofErr w:type="gramStart"/>
      <w:r w:rsidRPr="00525FB2">
        <w:rPr>
          <w:rFonts w:ascii="Verdana" w:hAnsi="Verdana"/>
          <w:sz w:val="28"/>
          <w:szCs w:val="28"/>
        </w:rPr>
        <w:t>The Lynn Group, Inc.</w:t>
      </w:r>
      <w:proofErr w:type="gramEnd"/>
    </w:p>
    <w:p w:rsidR="002B04FC" w:rsidRPr="00525FB2" w:rsidRDefault="002B04FC" w:rsidP="002B04FC">
      <w:pPr>
        <w:pStyle w:val="Title"/>
        <w:jc w:val="left"/>
        <w:rPr>
          <w:rFonts w:ascii="Verdana" w:hAnsi="Verdana"/>
          <w:sz w:val="28"/>
          <w:szCs w:val="28"/>
        </w:rPr>
      </w:pPr>
      <w:r w:rsidRPr="00525FB2">
        <w:rPr>
          <w:rFonts w:ascii="Verdana" w:hAnsi="Verdana"/>
          <w:sz w:val="28"/>
          <w:szCs w:val="28"/>
        </w:rPr>
        <w:t>613 Eldrid Drive, Suite 200</w:t>
      </w:r>
    </w:p>
    <w:p w:rsidR="002B04FC" w:rsidRPr="00525FB2" w:rsidRDefault="002B04FC" w:rsidP="002B04FC">
      <w:pPr>
        <w:pStyle w:val="Title"/>
        <w:jc w:val="left"/>
        <w:rPr>
          <w:rFonts w:ascii="Verdana" w:hAnsi="Verdana"/>
          <w:sz w:val="28"/>
          <w:szCs w:val="28"/>
        </w:rPr>
      </w:pPr>
      <w:r w:rsidRPr="00525FB2">
        <w:rPr>
          <w:rFonts w:ascii="Verdana" w:hAnsi="Verdana"/>
          <w:sz w:val="28"/>
          <w:szCs w:val="28"/>
        </w:rPr>
        <w:t>Silver Spring, Maryland  20904-3344</w:t>
      </w:r>
    </w:p>
    <w:p w:rsidR="000F3A6C" w:rsidRPr="00525FB2" w:rsidRDefault="00630FF8" w:rsidP="002B04FC">
      <w:pPr>
        <w:pStyle w:val="Title"/>
        <w:jc w:val="left"/>
        <w:rPr>
          <w:rFonts w:ascii="Verdana" w:hAnsi="Verdana"/>
          <w:sz w:val="28"/>
          <w:szCs w:val="28"/>
        </w:rPr>
      </w:pPr>
      <w:r>
        <w:rPr>
          <w:rFonts w:ascii="Verdana" w:hAnsi="Verdana"/>
          <w:sz w:val="28"/>
          <w:szCs w:val="28"/>
        </w:rPr>
        <w:t xml:space="preserve">301.275.0704 </w:t>
      </w:r>
    </w:p>
    <w:p w:rsidR="002B04FC" w:rsidRPr="00525FB2" w:rsidRDefault="002B04FC" w:rsidP="002B04FC">
      <w:pPr>
        <w:pStyle w:val="Title"/>
        <w:jc w:val="left"/>
        <w:rPr>
          <w:rFonts w:ascii="Verdana" w:hAnsi="Verdana"/>
          <w:sz w:val="28"/>
          <w:szCs w:val="28"/>
        </w:rPr>
      </w:pPr>
      <w:r w:rsidRPr="00525FB2">
        <w:rPr>
          <w:rFonts w:ascii="Verdana" w:hAnsi="Verdana"/>
          <w:sz w:val="28"/>
          <w:szCs w:val="28"/>
        </w:rPr>
        <w:t>TheLynnGroup.net</w:t>
      </w:r>
    </w:p>
    <w:p w:rsidR="002B04FC" w:rsidRPr="00525FB2" w:rsidRDefault="002B04FC" w:rsidP="002B04FC">
      <w:pPr>
        <w:pStyle w:val="Title"/>
        <w:jc w:val="left"/>
        <w:rPr>
          <w:rFonts w:ascii="Verdana" w:hAnsi="Verdana"/>
          <w:sz w:val="28"/>
          <w:szCs w:val="28"/>
        </w:rPr>
      </w:pPr>
      <w:r w:rsidRPr="00525FB2">
        <w:rPr>
          <w:rFonts w:ascii="Verdana" w:hAnsi="Verdana"/>
          <w:sz w:val="28"/>
          <w:szCs w:val="28"/>
        </w:rPr>
        <w:t>JimLynn@TheLynnGroup.net</w:t>
      </w:r>
    </w:p>
    <w:p w:rsidR="002B04FC" w:rsidRDefault="002B04FC" w:rsidP="002B04FC">
      <w:pPr>
        <w:pStyle w:val="Title"/>
        <w:rPr>
          <w:rFonts w:ascii="Verdana" w:hAnsi="Verdana"/>
        </w:rPr>
      </w:pPr>
    </w:p>
    <w:p w:rsidR="002B04FC" w:rsidRDefault="002B04FC" w:rsidP="002B04FC">
      <w:pPr>
        <w:pStyle w:val="Title"/>
        <w:rPr>
          <w:rFonts w:ascii="Verdana" w:hAnsi="Verdana"/>
        </w:rPr>
      </w:pPr>
    </w:p>
    <w:p w:rsidR="002B04FC" w:rsidRDefault="002B04FC" w:rsidP="002B04FC">
      <w:pPr>
        <w:pStyle w:val="Title"/>
        <w:rPr>
          <w:rFonts w:ascii="Verdana" w:hAnsi="Verdana"/>
        </w:rPr>
      </w:pPr>
      <w:r>
        <w:rPr>
          <w:rFonts w:ascii="Verdana" w:hAnsi="Verdana"/>
        </w:rPr>
        <w:t>R</w:t>
      </w:r>
      <w:r w:rsidR="00672A6D">
        <w:rPr>
          <w:rFonts w:ascii="Verdana" w:hAnsi="Verdana"/>
        </w:rPr>
        <w:t>É</w:t>
      </w:r>
      <w:r>
        <w:rPr>
          <w:rFonts w:ascii="Verdana" w:hAnsi="Verdana"/>
        </w:rPr>
        <w:t>SUM</w:t>
      </w:r>
      <w:r w:rsidR="00672A6D">
        <w:rPr>
          <w:rFonts w:ascii="Verdana" w:hAnsi="Verdana"/>
        </w:rPr>
        <w:t>É</w:t>
      </w:r>
      <w:r>
        <w:rPr>
          <w:rFonts w:ascii="Verdana" w:hAnsi="Verdana"/>
        </w:rPr>
        <w:t xml:space="preserve"> OF JAMES F. LYNN, PRINCIPAL OF THE LYNN GROUP, INC.</w:t>
      </w:r>
    </w:p>
    <w:p w:rsidR="002B04FC" w:rsidRDefault="002B04FC" w:rsidP="002B04FC">
      <w:pPr>
        <w:jc w:val="center"/>
        <w:rPr>
          <w:rFonts w:ascii="Verdana" w:hAnsi="Verdana"/>
          <w:b/>
          <w:sz w:val="22"/>
        </w:rPr>
      </w:pPr>
    </w:p>
    <w:p w:rsidR="002B04FC" w:rsidRDefault="002B04FC" w:rsidP="002B04FC">
      <w:pPr>
        <w:jc w:val="center"/>
        <w:rPr>
          <w:rFonts w:ascii="Verdana" w:hAnsi="Verdana"/>
          <w:b/>
          <w:sz w:val="22"/>
        </w:rPr>
      </w:pPr>
    </w:p>
    <w:p w:rsidR="002B04FC" w:rsidRDefault="002B04FC" w:rsidP="002B04FC">
      <w:pPr>
        <w:jc w:val="both"/>
        <w:rPr>
          <w:rFonts w:ascii="Verdana" w:hAnsi="Verdana"/>
          <w:sz w:val="22"/>
          <w:u w:val="single"/>
        </w:rPr>
      </w:pPr>
      <w:r>
        <w:rPr>
          <w:rFonts w:ascii="Verdana" w:hAnsi="Verdana"/>
          <w:sz w:val="22"/>
          <w:u w:val="single"/>
        </w:rPr>
        <w:t>Summary</w:t>
      </w:r>
      <w:r>
        <w:rPr>
          <w:rFonts w:ascii="Verdana" w:hAnsi="Verdana"/>
          <w:sz w:val="22"/>
        </w:rPr>
        <w:t xml:space="preserve"> </w:t>
      </w:r>
      <w:r>
        <w:rPr>
          <w:rFonts w:ascii="Verdana" w:hAnsi="Verdana"/>
          <w:sz w:val="22"/>
          <w:u w:val="single"/>
        </w:rPr>
        <w:t>of</w:t>
      </w:r>
      <w:r>
        <w:rPr>
          <w:rFonts w:ascii="Verdana" w:hAnsi="Verdana"/>
          <w:sz w:val="22"/>
        </w:rPr>
        <w:t xml:space="preserve"> </w:t>
      </w:r>
      <w:r>
        <w:rPr>
          <w:rFonts w:ascii="Verdana" w:hAnsi="Verdana"/>
          <w:sz w:val="22"/>
          <w:u w:val="single"/>
        </w:rPr>
        <w:t>Background</w:t>
      </w:r>
    </w:p>
    <w:p w:rsidR="0007486F" w:rsidRDefault="0007486F" w:rsidP="002B04FC">
      <w:pPr>
        <w:jc w:val="both"/>
        <w:rPr>
          <w:rFonts w:ascii="Verdana" w:hAnsi="Verdana"/>
          <w:sz w:val="22"/>
        </w:rPr>
      </w:pPr>
    </w:p>
    <w:p w:rsidR="002B04FC" w:rsidRPr="0007486F" w:rsidRDefault="002B04FC" w:rsidP="00767908">
      <w:pPr>
        <w:numPr>
          <w:ilvl w:val="0"/>
          <w:numId w:val="1"/>
        </w:numPr>
        <w:jc w:val="both"/>
        <w:rPr>
          <w:rFonts w:ascii="Verdana" w:hAnsi="Verdana"/>
          <w:sz w:val="22"/>
        </w:rPr>
      </w:pPr>
      <w:r w:rsidRPr="0007486F">
        <w:rPr>
          <w:rFonts w:ascii="Verdana" w:hAnsi="Verdana"/>
          <w:sz w:val="22"/>
        </w:rPr>
        <w:t xml:space="preserve">Principal, </w:t>
      </w:r>
      <w:proofErr w:type="gramStart"/>
      <w:r w:rsidRPr="0007486F">
        <w:rPr>
          <w:rFonts w:ascii="Verdana" w:hAnsi="Verdana"/>
          <w:sz w:val="22"/>
        </w:rPr>
        <w:t>The</w:t>
      </w:r>
      <w:proofErr w:type="gramEnd"/>
      <w:r w:rsidRPr="0007486F">
        <w:rPr>
          <w:rFonts w:ascii="Verdana" w:hAnsi="Verdana"/>
          <w:sz w:val="22"/>
        </w:rPr>
        <w:t xml:space="preserve"> Lynn Group, Inc. (since September 1995).</w:t>
      </w:r>
    </w:p>
    <w:p w:rsidR="00DD75F2" w:rsidRDefault="00DD75F2" w:rsidP="00DD75F2">
      <w:pPr>
        <w:numPr>
          <w:ilvl w:val="0"/>
          <w:numId w:val="1"/>
        </w:numPr>
        <w:tabs>
          <w:tab w:val="clear" w:pos="360"/>
          <w:tab w:val="num" w:pos="1080"/>
        </w:tabs>
        <w:ind w:left="1080"/>
        <w:jc w:val="both"/>
        <w:rPr>
          <w:rFonts w:ascii="Verdana" w:hAnsi="Verdana"/>
          <w:sz w:val="22"/>
        </w:rPr>
      </w:pPr>
      <w:r>
        <w:rPr>
          <w:rFonts w:ascii="Verdana" w:hAnsi="Verdana"/>
          <w:sz w:val="22"/>
        </w:rPr>
        <w:t xml:space="preserve">Expert witness, consumer and commercial banking matters (since August 2001). </w:t>
      </w:r>
    </w:p>
    <w:p w:rsidR="002B04FC" w:rsidRDefault="002B04FC" w:rsidP="002B04FC">
      <w:pPr>
        <w:numPr>
          <w:ilvl w:val="0"/>
          <w:numId w:val="1"/>
        </w:numPr>
        <w:tabs>
          <w:tab w:val="clear" w:pos="360"/>
          <w:tab w:val="num" w:pos="1080"/>
        </w:tabs>
        <w:ind w:left="1080"/>
        <w:jc w:val="both"/>
        <w:rPr>
          <w:rFonts w:ascii="Verdana" w:hAnsi="Verdana"/>
          <w:sz w:val="22"/>
        </w:rPr>
      </w:pPr>
      <w:r>
        <w:rPr>
          <w:rFonts w:ascii="Verdana" w:hAnsi="Verdana"/>
          <w:sz w:val="22"/>
        </w:rPr>
        <w:t>Consultant to community financial institutions on commercial and retail credit issues.</w:t>
      </w:r>
    </w:p>
    <w:p w:rsidR="002B04FC" w:rsidRPr="0007486F" w:rsidRDefault="002B04FC" w:rsidP="002B04FC">
      <w:pPr>
        <w:numPr>
          <w:ilvl w:val="0"/>
          <w:numId w:val="1"/>
        </w:numPr>
        <w:tabs>
          <w:tab w:val="clear" w:pos="360"/>
          <w:tab w:val="num" w:pos="1080"/>
        </w:tabs>
        <w:ind w:left="1080"/>
        <w:jc w:val="both"/>
        <w:rPr>
          <w:rFonts w:ascii="Verdana" w:hAnsi="Verdana"/>
          <w:sz w:val="22"/>
        </w:rPr>
      </w:pPr>
      <w:r w:rsidRPr="0007486F">
        <w:rPr>
          <w:rFonts w:ascii="Verdana" w:hAnsi="Verdana"/>
          <w:sz w:val="22"/>
        </w:rPr>
        <w:t>Facilitator of consumer and commercial credit training programs, Omega Performance Corporation (3 ½ years).</w:t>
      </w:r>
    </w:p>
    <w:p w:rsidR="002B04FC" w:rsidRPr="0007486F" w:rsidRDefault="002B04FC" w:rsidP="00767908">
      <w:pPr>
        <w:numPr>
          <w:ilvl w:val="0"/>
          <w:numId w:val="12"/>
        </w:numPr>
        <w:tabs>
          <w:tab w:val="clear" w:pos="360"/>
          <w:tab w:val="num" w:pos="0"/>
        </w:tabs>
        <w:jc w:val="both"/>
        <w:rPr>
          <w:rFonts w:ascii="Verdana" w:hAnsi="Verdana"/>
          <w:sz w:val="22"/>
        </w:rPr>
      </w:pPr>
      <w:r w:rsidRPr="0007486F">
        <w:rPr>
          <w:rFonts w:ascii="Verdana" w:hAnsi="Verdana"/>
          <w:sz w:val="22"/>
        </w:rPr>
        <w:t>Director of Business, Finance, &amp; Development and Director of Financial Aid, Sandy Spring Friends School, Sandy Spring, Maryland (2 ½ years).</w:t>
      </w:r>
    </w:p>
    <w:p w:rsidR="002B04FC" w:rsidRPr="00915872" w:rsidRDefault="002B04FC" w:rsidP="00767908">
      <w:pPr>
        <w:numPr>
          <w:ilvl w:val="0"/>
          <w:numId w:val="1"/>
        </w:numPr>
        <w:tabs>
          <w:tab w:val="clear" w:pos="360"/>
          <w:tab w:val="num" w:pos="0"/>
        </w:tabs>
        <w:jc w:val="both"/>
        <w:rPr>
          <w:rFonts w:ascii="Verdana" w:hAnsi="Verdana"/>
          <w:sz w:val="22"/>
        </w:rPr>
      </w:pPr>
      <w:r w:rsidRPr="00915872">
        <w:rPr>
          <w:rFonts w:ascii="Verdana" w:hAnsi="Verdana"/>
          <w:sz w:val="22"/>
        </w:rPr>
        <w:t>Vice President and Commercial Relationship Manager, Maryland National Bank (11 years).</w:t>
      </w:r>
    </w:p>
    <w:p w:rsidR="002B04FC" w:rsidRDefault="002B04FC" w:rsidP="00767908">
      <w:pPr>
        <w:numPr>
          <w:ilvl w:val="0"/>
          <w:numId w:val="8"/>
        </w:numPr>
        <w:tabs>
          <w:tab w:val="clear" w:pos="360"/>
          <w:tab w:val="num" w:pos="720"/>
        </w:tabs>
        <w:ind w:left="1080"/>
        <w:jc w:val="both"/>
        <w:rPr>
          <w:rFonts w:ascii="Verdana" w:hAnsi="Verdana"/>
          <w:sz w:val="22"/>
        </w:rPr>
      </w:pPr>
      <w:r>
        <w:rPr>
          <w:rFonts w:ascii="Verdana" w:hAnsi="Verdana"/>
          <w:sz w:val="22"/>
        </w:rPr>
        <w:t>Retail/Commercial Training Program (6 months).</w:t>
      </w:r>
    </w:p>
    <w:p w:rsidR="002B04FC" w:rsidRDefault="002B04FC" w:rsidP="00767908">
      <w:pPr>
        <w:numPr>
          <w:ilvl w:val="0"/>
          <w:numId w:val="13"/>
        </w:numPr>
        <w:tabs>
          <w:tab w:val="clear" w:pos="360"/>
          <w:tab w:val="num" w:pos="720"/>
        </w:tabs>
        <w:ind w:left="1080"/>
        <w:jc w:val="both"/>
        <w:rPr>
          <w:rFonts w:ascii="Verdana" w:hAnsi="Verdana"/>
          <w:sz w:val="22"/>
        </w:rPr>
      </w:pPr>
      <w:r>
        <w:rPr>
          <w:rFonts w:ascii="Verdana" w:hAnsi="Verdana"/>
          <w:sz w:val="22"/>
        </w:rPr>
        <w:t>Branch Manager (6 months).</w:t>
      </w:r>
    </w:p>
    <w:p w:rsidR="002B04FC" w:rsidRDefault="002B04FC" w:rsidP="00767908">
      <w:pPr>
        <w:numPr>
          <w:ilvl w:val="0"/>
          <w:numId w:val="8"/>
        </w:numPr>
        <w:tabs>
          <w:tab w:val="clear" w:pos="360"/>
          <w:tab w:val="num" w:pos="1080"/>
        </w:tabs>
        <w:ind w:left="1080"/>
        <w:jc w:val="both"/>
        <w:rPr>
          <w:rFonts w:ascii="Verdana" w:hAnsi="Verdana"/>
          <w:sz w:val="22"/>
        </w:rPr>
      </w:pPr>
      <w:r>
        <w:rPr>
          <w:rFonts w:ascii="Verdana" w:hAnsi="Verdana"/>
          <w:sz w:val="22"/>
        </w:rPr>
        <w:t>Commercial Relationship Manager (8 years).</w:t>
      </w:r>
    </w:p>
    <w:p w:rsidR="002B04FC" w:rsidRPr="00915872" w:rsidRDefault="002B04FC" w:rsidP="00767908">
      <w:pPr>
        <w:numPr>
          <w:ilvl w:val="0"/>
          <w:numId w:val="8"/>
        </w:numPr>
        <w:tabs>
          <w:tab w:val="clear" w:pos="360"/>
          <w:tab w:val="num" w:pos="720"/>
        </w:tabs>
        <w:ind w:left="1080"/>
        <w:jc w:val="both"/>
        <w:rPr>
          <w:rFonts w:ascii="Verdana" w:hAnsi="Verdana"/>
          <w:sz w:val="22"/>
        </w:rPr>
      </w:pPr>
      <w:r w:rsidRPr="00915872">
        <w:rPr>
          <w:rFonts w:ascii="Verdana" w:hAnsi="Verdana"/>
          <w:sz w:val="22"/>
        </w:rPr>
        <w:t>Manager, Commercial Credit Training Program (2 years).</w:t>
      </w:r>
    </w:p>
    <w:p w:rsidR="002B04FC" w:rsidRDefault="002B04FC" w:rsidP="00767908">
      <w:pPr>
        <w:pStyle w:val="BodyText"/>
        <w:numPr>
          <w:ilvl w:val="0"/>
          <w:numId w:val="2"/>
        </w:numPr>
        <w:tabs>
          <w:tab w:val="clear" w:pos="360"/>
          <w:tab w:val="num" w:pos="0"/>
        </w:tabs>
        <w:rPr>
          <w:rFonts w:ascii="Verdana" w:hAnsi="Verdana"/>
          <w:sz w:val="22"/>
        </w:rPr>
      </w:pPr>
      <w:r>
        <w:rPr>
          <w:rFonts w:ascii="Verdana" w:hAnsi="Verdana"/>
          <w:sz w:val="22"/>
        </w:rPr>
        <w:t>Part-time faculty member, University of Maryland. Taught 2 courses: Corporate Finance and Security &amp; Investment Analysis, (4 years).</w:t>
      </w:r>
    </w:p>
    <w:p w:rsidR="002B04FC" w:rsidRDefault="002B04FC" w:rsidP="00767908">
      <w:pPr>
        <w:pStyle w:val="BodyText"/>
        <w:numPr>
          <w:ilvl w:val="0"/>
          <w:numId w:val="3"/>
        </w:numPr>
        <w:tabs>
          <w:tab w:val="clear" w:pos="360"/>
          <w:tab w:val="num" w:pos="0"/>
        </w:tabs>
        <w:rPr>
          <w:rFonts w:ascii="Verdana" w:hAnsi="Verdana"/>
          <w:sz w:val="22"/>
        </w:rPr>
      </w:pPr>
      <w:r>
        <w:rPr>
          <w:rFonts w:ascii="Verdana" w:hAnsi="Verdana"/>
          <w:sz w:val="22"/>
        </w:rPr>
        <w:t>Lecturer, Maryland Banking School (9 years).</w:t>
      </w:r>
    </w:p>
    <w:p w:rsidR="002B04FC" w:rsidRDefault="002B04FC" w:rsidP="00767908">
      <w:pPr>
        <w:numPr>
          <w:ilvl w:val="0"/>
          <w:numId w:val="4"/>
        </w:numPr>
        <w:tabs>
          <w:tab w:val="clear" w:pos="360"/>
          <w:tab w:val="num" w:pos="0"/>
        </w:tabs>
        <w:jc w:val="both"/>
        <w:rPr>
          <w:rFonts w:ascii="Verdana" w:hAnsi="Verdana"/>
          <w:sz w:val="22"/>
        </w:rPr>
      </w:pPr>
      <w:r>
        <w:rPr>
          <w:rFonts w:ascii="Verdana" w:hAnsi="Verdana"/>
          <w:sz w:val="22"/>
        </w:rPr>
        <w:t>Member, Board of Trustees, Green Acres School, Rockville, Maryland (3 years).</w:t>
      </w:r>
    </w:p>
    <w:p w:rsidR="002B04FC" w:rsidRDefault="002B04FC" w:rsidP="00767908">
      <w:pPr>
        <w:numPr>
          <w:ilvl w:val="0"/>
          <w:numId w:val="4"/>
        </w:numPr>
        <w:tabs>
          <w:tab w:val="clear" w:pos="360"/>
          <w:tab w:val="num" w:pos="0"/>
        </w:tabs>
        <w:jc w:val="both"/>
        <w:rPr>
          <w:rFonts w:ascii="Verdana" w:hAnsi="Verdana"/>
          <w:sz w:val="22"/>
        </w:rPr>
      </w:pPr>
      <w:r>
        <w:rPr>
          <w:rFonts w:ascii="Verdana" w:hAnsi="Verdana"/>
          <w:sz w:val="22"/>
        </w:rPr>
        <w:t>Member, Board of Trustees, Sandy Spring Friends School (2 years).</w:t>
      </w:r>
    </w:p>
    <w:p w:rsidR="002B04FC" w:rsidRDefault="002B04FC" w:rsidP="00767908">
      <w:pPr>
        <w:numPr>
          <w:ilvl w:val="0"/>
          <w:numId w:val="4"/>
        </w:numPr>
        <w:tabs>
          <w:tab w:val="clear" w:pos="360"/>
          <w:tab w:val="num" w:pos="0"/>
        </w:tabs>
        <w:jc w:val="both"/>
        <w:rPr>
          <w:rFonts w:ascii="Verdana" w:hAnsi="Verdana"/>
          <w:sz w:val="22"/>
        </w:rPr>
      </w:pPr>
      <w:r>
        <w:rPr>
          <w:rFonts w:ascii="Verdana" w:hAnsi="Verdana"/>
          <w:sz w:val="22"/>
        </w:rPr>
        <w:t>Member, Board of Trustees, Friends Meeting School, Ijamsville, Maryland (one year).</w:t>
      </w:r>
    </w:p>
    <w:p w:rsidR="002B04FC" w:rsidRDefault="002B04FC" w:rsidP="00767908">
      <w:pPr>
        <w:numPr>
          <w:ilvl w:val="0"/>
          <w:numId w:val="4"/>
        </w:numPr>
        <w:tabs>
          <w:tab w:val="clear" w:pos="360"/>
          <w:tab w:val="num" w:pos="0"/>
        </w:tabs>
        <w:jc w:val="both"/>
        <w:rPr>
          <w:rFonts w:ascii="Verdana" w:hAnsi="Verdana"/>
          <w:sz w:val="22"/>
        </w:rPr>
      </w:pPr>
      <w:r>
        <w:rPr>
          <w:rFonts w:ascii="Verdana" w:hAnsi="Verdana"/>
          <w:sz w:val="22"/>
        </w:rPr>
        <w:t>Staff Assistant to former U. S. Senator Herman E. Talmadge of Georgia (3 years).</w:t>
      </w:r>
    </w:p>
    <w:p w:rsidR="002B04FC" w:rsidRDefault="002B04FC" w:rsidP="00767908">
      <w:pPr>
        <w:pStyle w:val="Heading1"/>
        <w:numPr>
          <w:ilvl w:val="0"/>
          <w:numId w:val="5"/>
        </w:numPr>
        <w:rPr>
          <w:rFonts w:ascii="Verdana" w:hAnsi="Verdana"/>
          <w:sz w:val="22"/>
        </w:rPr>
      </w:pPr>
      <w:r>
        <w:rPr>
          <w:rFonts w:ascii="Verdana" w:hAnsi="Verdana"/>
          <w:sz w:val="22"/>
        </w:rPr>
        <w:t xml:space="preserve">Congressional Intern, Office of former U. S. Representative Robert W. </w:t>
      </w:r>
      <w:proofErr w:type="spellStart"/>
      <w:r>
        <w:rPr>
          <w:rFonts w:ascii="Verdana" w:hAnsi="Verdana"/>
          <w:sz w:val="22"/>
        </w:rPr>
        <w:t>Kastenmeier</w:t>
      </w:r>
      <w:proofErr w:type="spellEnd"/>
      <w:r>
        <w:rPr>
          <w:rFonts w:ascii="Verdana" w:hAnsi="Verdana"/>
          <w:sz w:val="22"/>
        </w:rPr>
        <w:t xml:space="preserve"> of Wisconsin (3 months).</w:t>
      </w:r>
    </w:p>
    <w:p w:rsidR="002B04FC" w:rsidRDefault="002B04FC" w:rsidP="00767908">
      <w:pPr>
        <w:numPr>
          <w:ilvl w:val="0"/>
          <w:numId w:val="6"/>
        </w:numPr>
        <w:jc w:val="both"/>
        <w:rPr>
          <w:rFonts w:ascii="Verdana" w:hAnsi="Verdana"/>
          <w:sz w:val="22"/>
        </w:rPr>
      </w:pPr>
      <w:r>
        <w:rPr>
          <w:rFonts w:ascii="Verdana" w:hAnsi="Verdana"/>
          <w:sz w:val="22"/>
        </w:rPr>
        <w:t>MBA, University of Maryland; BA, University of Wisconsin.</w:t>
      </w:r>
    </w:p>
    <w:p w:rsidR="002B04FC" w:rsidRDefault="002B04FC" w:rsidP="002B04FC">
      <w:pPr>
        <w:jc w:val="both"/>
        <w:rPr>
          <w:rFonts w:ascii="Verdana" w:hAnsi="Verdana"/>
          <w:sz w:val="22"/>
          <w:u w:val="single"/>
        </w:rPr>
        <w:sectPr w:rsidR="002B04FC">
          <w:footerReference w:type="even" r:id="rId8"/>
          <w:footerReference w:type="default" r:id="rId9"/>
          <w:pgSz w:w="12240" w:h="15840"/>
          <w:pgMar w:top="2016" w:right="1440" w:bottom="2160" w:left="1440" w:header="720" w:footer="720" w:gutter="0"/>
          <w:cols w:space="720"/>
        </w:sectPr>
      </w:pPr>
    </w:p>
    <w:p w:rsidR="002B04FC" w:rsidRDefault="002B04FC" w:rsidP="002B04FC">
      <w:pPr>
        <w:jc w:val="both"/>
        <w:rPr>
          <w:rFonts w:ascii="Verdana" w:hAnsi="Verdana"/>
          <w:sz w:val="22"/>
        </w:rPr>
      </w:pPr>
      <w:proofErr w:type="gramStart"/>
      <w:r>
        <w:rPr>
          <w:rFonts w:ascii="Verdana" w:hAnsi="Verdana"/>
          <w:sz w:val="22"/>
          <w:u w:val="single"/>
        </w:rPr>
        <w:lastRenderedPageBreak/>
        <w:t>The</w:t>
      </w:r>
      <w:r>
        <w:rPr>
          <w:rFonts w:ascii="Verdana" w:hAnsi="Verdana"/>
          <w:sz w:val="22"/>
        </w:rPr>
        <w:t xml:space="preserve"> </w:t>
      </w:r>
      <w:r>
        <w:rPr>
          <w:rFonts w:ascii="Verdana" w:hAnsi="Verdana"/>
          <w:sz w:val="22"/>
          <w:u w:val="single"/>
        </w:rPr>
        <w:t>Lynn</w:t>
      </w:r>
      <w:r>
        <w:rPr>
          <w:rFonts w:ascii="Verdana" w:hAnsi="Verdana"/>
          <w:sz w:val="22"/>
        </w:rPr>
        <w:t xml:space="preserve"> </w:t>
      </w:r>
      <w:r>
        <w:rPr>
          <w:rFonts w:ascii="Verdana" w:hAnsi="Verdana"/>
          <w:sz w:val="22"/>
          <w:u w:val="single"/>
        </w:rPr>
        <w:t>Group</w:t>
      </w:r>
      <w:r>
        <w:rPr>
          <w:rFonts w:ascii="Verdana" w:hAnsi="Verdana"/>
          <w:sz w:val="22"/>
        </w:rPr>
        <w:t xml:space="preserve">, </w:t>
      </w:r>
      <w:r>
        <w:rPr>
          <w:rFonts w:ascii="Verdana" w:hAnsi="Verdana"/>
          <w:sz w:val="22"/>
          <w:u w:val="single"/>
        </w:rPr>
        <w:t>Inc</w:t>
      </w:r>
      <w:r>
        <w:rPr>
          <w:rFonts w:ascii="Verdana" w:hAnsi="Verdana"/>
          <w:sz w:val="22"/>
        </w:rPr>
        <w:t>.</w:t>
      </w:r>
      <w:proofErr w:type="gramEnd"/>
      <w:r>
        <w:rPr>
          <w:rFonts w:ascii="Verdana" w:hAnsi="Verdana"/>
          <w:sz w:val="22"/>
        </w:rPr>
        <w:t xml:space="preserve">  (September 1, 1995 – Present)</w:t>
      </w:r>
    </w:p>
    <w:p w:rsidR="002B04FC" w:rsidRDefault="002B04FC" w:rsidP="002B04FC">
      <w:pPr>
        <w:jc w:val="both"/>
        <w:rPr>
          <w:rFonts w:ascii="Verdana" w:hAnsi="Verdana"/>
          <w:sz w:val="22"/>
        </w:rPr>
      </w:pPr>
    </w:p>
    <w:p w:rsidR="002B04FC" w:rsidRDefault="00915872" w:rsidP="002B04FC">
      <w:pPr>
        <w:jc w:val="both"/>
        <w:rPr>
          <w:rFonts w:ascii="Verdana" w:hAnsi="Verdana"/>
          <w:sz w:val="22"/>
        </w:rPr>
      </w:pPr>
      <w:r>
        <w:rPr>
          <w:rFonts w:ascii="Verdana" w:hAnsi="Verdana"/>
          <w:sz w:val="22"/>
        </w:rPr>
        <w:t>W</w:t>
      </w:r>
      <w:r w:rsidR="002B04FC">
        <w:rPr>
          <w:rFonts w:ascii="Verdana" w:hAnsi="Verdana"/>
          <w:sz w:val="22"/>
        </w:rPr>
        <w:t xml:space="preserve">orked with approximately 15 community financial institutions and have provided one or more of the following services to each client institution:   </w:t>
      </w:r>
    </w:p>
    <w:p w:rsidR="002B04FC" w:rsidRDefault="002B04FC" w:rsidP="002B04FC">
      <w:pPr>
        <w:jc w:val="both"/>
        <w:rPr>
          <w:rFonts w:ascii="Verdana" w:hAnsi="Verdana"/>
          <w:sz w:val="22"/>
        </w:rPr>
      </w:pPr>
    </w:p>
    <w:p w:rsidR="002B04FC" w:rsidRPr="00C437A5" w:rsidRDefault="002B04FC" w:rsidP="00767908">
      <w:pPr>
        <w:numPr>
          <w:ilvl w:val="0"/>
          <w:numId w:val="11"/>
        </w:numPr>
        <w:jc w:val="both"/>
        <w:rPr>
          <w:rFonts w:ascii="Verdana" w:hAnsi="Verdana"/>
          <w:sz w:val="22"/>
        </w:rPr>
      </w:pPr>
      <w:r w:rsidRPr="00C437A5">
        <w:rPr>
          <w:rFonts w:ascii="Verdana" w:hAnsi="Verdana"/>
          <w:sz w:val="22"/>
        </w:rPr>
        <w:t xml:space="preserve">Conducted specific credit training programs for commercial and retail lenders.   Provided ongoing training and support to lending officers with regard to credit analysis/loan origination, composition of a loan summary, and other relationship management issues. </w:t>
      </w:r>
    </w:p>
    <w:p w:rsidR="002B04FC" w:rsidRPr="00C437A5" w:rsidRDefault="002B04FC" w:rsidP="00767908">
      <w:pPr>
        <w:numPr>
          <w:ilvl w:val="0"/>
          <w:numId w:val="7"/>
        </w:numPr>
        <w:jc w:val="both"/>
        <w:rPr>
          <w:rFonts w:ascii="Verdana" w:hAnsi="Verdana"/>
          <w:sz w:val="22"/>
        </w:rPr>
      </w:pPr>
      <w:r w:rsidRPr="00C437A5">
        <w:rPr>
          <w:rFonts w:ascii="Verdana" w:hAnsi="Verdana"/>
          <w:sz w:val="22"/>
        </w:rPr>
        <w:t xml:space="preserve">Performed credit review of an institution’s commercial and/or retail loan portfolios.  Identified any risk issues or deficiencies in each credit relationship that had the potential to create a loss situation for the financial institution.   Proposed a strategy in each instance to mitigate the risk issue and/or correct the deficiency. </w:t>
      </w:r>
    </w:p>
    <w:p w:rsidR="002B04FC" w:rsidRPr="00C437A5" w:rsidRDefault="002B04FC" w:rsidP="00767908">
      <w:pPr>
        <w:numPr>
          <w:ilvl w:val="0"/>
          <w:numId w:val="7"/>
        </w:numPr>
        <w:jc w:val="both"/>
        <w:rPr>
          <w:rFonts w:ascii="Verdana" w:hAnsi="Verdana"/>
          <w:sz w:val="22"/>
        </w:rPr>
      </w:pPr>
      <w:r w:rsidRPr="00C437A5">
        <w:rPr>
          <w:rFonts w:ascii="Verdana" w:hAnsi="Verdana"/>
          <w:sz w:val="22"/>
        </w:rPr>
        <w:t>Reviewed and evaluated a financial institution’s credit policy and procedures manual.  Have written a complete loan policy and procedures manual for two community financial institutions.</w:t>
      </w:r>
    </w:p>
    <w:p w:rsidR="002B04FC" w:rsidRPr="00C437A5" w:rsidRDefault="002B04FC" w:rsidP="00767908">
      <w:pPr>
        <w:numPr>
          <w:ilvl w:val="0"/>
          <w:numId w:val="7"/>
        </w:numPr>
        <w:jc w:val="both"/>
        <w:rPr>
          <w:rFonts w:ascii="Verdana" w:hAnsi="Verdana"/>
          <w:sz w:val="22"/>
        </w:rPr>
      </w:pPr>
      <w:r w:rsidRPr="00C437A5">
        <w:rPr>
          <w:rFonts w:ascii="Verdana" w:hAnsi="Verdana"/>
          <w:sz w:val="22"/>
        </w:rPr>
        <w:t>Facilitated the establishment of a Watch Committee at one community financial institution.</w:t>
      </w:r>
    </w:p>
    <w:p w:rsidR="002B04FC" w:rsidRPr="00DA00C8" w:rsidRDefault="002B04FC" w:rsidP="002B04FC">
      <w:pPr>
        <w:numPr>
          <w:ilvl w:val="0"/>
          <w:numId w:val="7"/>
        </w:numPr>
        <w:jc w:val="both"/>
        <w:rPr>
          <w:rFonts w:ascii="Verdana" w:hAnsi="Verdana"/>
          <w:sz w:val="22"/>
          <w:u w:val="single"/>
        </w:rPr>
      </w:pPr>
      <w:r w:rsidRPr="00DA00C8">
        <w:rPr>
          <w:rFonts w:ascii="Verdana" w:hAnsi="Verdana"/>
          <w:sz w:val="22"/>
        </w:rPr>
        <w:t>Identified potential loan participants for an originating financial institution or potential sources of loans for a financial institution that sought to become a participant.</w:t>
      </w:r>
    </w:p>
    <w:p w:rsidR="002B04FC" w:rsidRDefault="002B04FC" w:rsidP="002B04FC">
      <w:pPr>
        <w:jc w:val="both"/>
        <w:rPr>
          <w:rFonts w:ascii="Verdana" w:hAnsi="Verdana"/>
          <w:sz w:val="22"/>
          <w:u w:val="single"/>
        </w:rPr>
      </w:pPr>
    </w:p>
    <w:p w:rsidR="002B04FC" w:rsidRDefault="002B04FC" w:rsidP="00915872">
      <w:pPr>
        <w:jc w:val="both"/>
        <w:rPr>
          <w:rFonts w:ascii="Verdana" w:hAnsi="Verdana"/>
          <w:sz w:val="22"/>
        </w:rPr>
      </w:pPr>
      <w:r>
        <w:rPr>
          <w:rFonts w:ascii="Verdana" w:hAnsi="Verdana"/>
          <w:sz w:val="22"/>
          <w:u w:val="single"/>
        </w:rPr>
        <w:t>Litigation</w:t>
      </w:r>
      <w:r>
        <w:rPr>
          <w:rFonts w:ascii="Verdana" w:hAnsi="Verdana"/>
          <w:sz w:val="22"/>
        </w:rPr>
        <w:t xml:space="preserve"> </w:t>
      </w:r>
      <w:r>
        <w:rPr>
          <w:rFonts w:ascii="Verdana" w:hAnsi="Verdana"/>
          <w:sz w:val="22"/>
          <w:u w:val="single"/>
        </w:rPr>
        <w:t>Support</w:t>
      </w:r>
      <w:r>
        <w:rPr>
          <w:rFonts w:ascii="Verdana" w:hAnsi="Verdana"/>
          <w:sz w:val="22"/>
        </w:rPr>
        <w:t xml:space="preserve"> (Since August 2001)</w:t>
      </w:r>
    </w:p>
    <w:p w:rsidR="002B04FC" w:rsidRDefault="002B04FC" w:rsidP="002B04FC">
      <w:pPr>
        <w:ind w:left="360"/>
        <w:jc w:val="both"/>
        <w:rPr>
          <w:rFonts w:ascii="Verdana" w:hAnsi="Verdana"/>
          <w:sz w:val="22"/>
        </w:rPr>
      </w:pPr>
    </w:p>
    <w:p w:rsidR="002B04FC" w:rsidRDefault="002B04FC" w:rsidP="00915872">
      <w:pPr>
        <w:jc w:val="both"/>
        <w:rPr>
          <w:rFonts w:ascii="Verdana" w:hAnsi="Verdana"/>
          <w:sz w:val="22"/>
        </w:rPr>
      </w:pPr>
      <w:r>
        <w:rPr>
          <w:rFonts w:ascii="Verdana" w:hAnsi="Verdana"/>
          <w:sz w:val="22"/>
        </w:rPr>
        <w:t xml:space="preserve">Expert Witness, consumer and commercial lending issues.  </w:t>
      </w:r>
      <w:proofErr w:type="gramStart"/>
      <w:r w:rsidR="00915872">
        <w:rPr>
          <w:rFonts w:ascii="Verdana" w:hAnsi="Verdana"/>
          <w:sz w:val="22"/>
        </w:rPr>
        <w:t>Wo</w:t>
      </w:r>
      <w:r>
        <w:rPr>
          <w:rFonts w:ascii="Verdana" w:hAnsi="Verdana"/>
          <w:sz w:val="22"/>
        </w:rPr>
        <w:t xml:space="preserve">rked on </w:t>
      </w:r>
      <w:proofErr w:type="spellStart"/>
      <w:r>
        <w:rPr>
          <w:rFonts w:ascii="Verdana" w:hAnsi="Verdana"/>
          <w:sz w:val="22"/>
        </w:rPr>
        <w:t>approxi</w:t>
      </w:r>
      <w:r w:rsidR="00915872">
        <w:rPr>
          <w:rFonts w:ascii="Verdana" w:hAnsi="Verdana"/>
          <w:sz w:val="22"/>
        </w:rPr>
        <w:t>-</w:t>
      </w:r>
      <w:r>
        <w:rPr>
          <w:rFonts w:ascii="Verdana" w:hAnsi="Verdana"/>
          <w:sz w:val="22"/>
        </w:rPr>
        <w:t>mately</w:t>
      </w:r>
      <w:proofErr w:type="spellEnd"/>
      <w:r>
        <w:rPr>
          <w:rFonts w:ascii="Verdana" w:hAnsi="Verdana"/>
          <w:sz w:val="22"/>
        </w:rPr>
        <w:t xml:space="preserve"> 100 cases in various state courts as well as i</w:t>
      </w:r>
      <w:r w:rsidR="00915872">
        <w:rPr>
          <w:rFonts w:ascii="Verdana" w:hAnsi="Verdana"/>
          <w:sz w:val="22"/>
        </w:rPr>
        <w:t>n the federal court system.</w:t>
      </w:r>
      <w:proofErr w:type="gramEnd"/>
      <w:r w:rsidR="00915872">
        <w:rPr>
          <w:rFonts w:ascii="Verdana" w:hAnsi="Verdana"/>
          <w:sz w:val="22"/>
        </w:rPr>
        <w:t xml:space="preserve">  </w:t>
      </w:r>
    </w:p>
    <w:p w:rsidR="002B04FC" w:rsidRDefault="002B04FC" w:rsidP="002B04FC">
      <w:pPr>
        <w:ind w:left="360"/>
        <w:jc w:val="both"/>
        <w:rPr>
          <w:rFonts w:ascii="Verdana" w:hAnsi="Verdana"/>
          <w:sz w:val="22"/>
        </w:rPr>
      </w:pPr>
    </w:p>
    <w:p w:rsidR="002B04FC" w:rsidRDefault="002B04FC" w:rsidP="00767908">
      <w:pPr>
        <w:numPr>
          <w:ilvl w:val="1"/>
          <w:numId w:val="20"/>
        </w:numPr>
        <w:tabs>
          <w:tab w:val="clear" w:pos="1080"/>
          <w:tab w:val="num" w:pos="360"/>
        </w:tabs>
        <w:ind w:left="720"/>
        <w:jc w:val="both"/>
        <w:rPr>
          <w:rFonts w:ascii="Verdana" w:hAnsi="Verdana"/>
          <w:sz w:val="22"/>
        </w:rPr>
      </w:pPr>
      <w:r>
        <w:rPr>
          <w:rFonts w:ascii="Verdana" w:hAnsi="Verdana"/>
          <w:sz w:val="22"/>
        </w:rPr>
        <w:t xml:space="preserve">FT Mortgage v. Joseph S. </w:t>
      </w:r>
      <w:proofErr w:type="spellStart"/>
      <w:r>
        <w:rPr>
          <w:rFonts w:ascii="Verdana" w:hAnsi="Verdana"/>
          <w:sz w:val="22"/>
        </w:rPr>
        <w:t>Livesay</w:t>
      </w:r>
      <w:proofErr w:type="spellEnd"/>
      <w:r>
        <w:rPr>
          <w:rFonts w:ascii="Verdana" w:hAnsi="Verdana"/>
          <w:sz w:val="22"/>
        </w:rPr>
        <w:t>, Jr., et al.  Expert Report, September 2001.  Client was the Defendant.</w:t>
      </w:r>
    </w:p>
    <w:p w:rsidR="002B04FC" w:rsidRDefault="002B04FC" w:rsidP="00767908">
      <w:pPr>
        <w:numPr>
          <w:ilvl w:val="1"/>
          <w:numId w:val="20"/>
        </w:numPr>
        <w:tabs>
          <w:tab w:val="clear" w:pos="1080"/>
          <w:tab w:val="num" w:pos="0"/>
        </w:tabs>
        <w:ind w:left="720"/>
        <w:jc w:val="both"/>
        <w:rPr>
          <w:rFonts w:ascii="Verdana" w:hAnsi="Verdana"/>
          <w:sz w:val="22"/>
        </w:rPr>
      </w:pPr>
      <w:proofErr w:type="spellStart"/>
      <w:r>
        <w:rPr>
          <w:rFonts w:ascii="Verdana" w:hAnsi="Verdana"/>
          <w:sz w:val="22"/>
        </w:rPr>
        <w:t>EquiCredit</w:t>
      </w:r>
      <w:proofErr w:type="spellEnd"/>
      <w:r>
        <w:rPr>
          <w:rFonts w:ascii="Verdana" w:hAnsi="Verdana"/>
          <w:sz w:val="22"/>
        </w:rPr>
        <w:t xml:space="preserve"> Corporation of America v. Fidelity National Title Insurance Company of New York, et al.  Expert Report, November 2001.  Client was the Plaintiff.</w:t>
      </w:r>
    </w:p>
    <w:p w:rsidR="002B04FC" w:rsidRDefault="002B04FC" w:rsidP="00767908">
      <w:pPr>
        <w:numPr>
          <w:ilvl w:val="1"/>
          <w:numId w:val="20"/>
        </w:numPr>
        <w:tabs>
          <w:tab w:val="clear" w:pos="1080"/>
          <w:tab w:val="num" w:pos="0"/>
        </w:tabs>
        <w:ind w:left="720"/>
        <w:jc w:val="both"/>
        <w:rPr>
          <w:rFonts w:ascii="Verdana" w:hAnsi="Verdana"/>
          <w:sz w:val="22"/>
        </w:rPr>
      </w:pPr>
      <w:proofErr w:type="spellStart"/>
      <w:r>
        <w:rPr>
          <w:rFonts w:ascii="Verdana" w:hAnsi="Verdana"/>
          <w:sz w:val="22"/>
        </w:rPr>
        <w:t>EquiCredit</w:t>
      </w:r>
      <w:proofErr w:type="spellEnd"/>
      <w:r>
        <w:rPr>
          <w:rFonts w:ascii="Verdana" w:hAnsi="Verdana"/>
          <w:sz w:val="22"/>
        </w:rPr>
        <w:t xml:space="preserve"> Corporation of America v. Dannell Santiago, et al.  Expert Report, November 2001.  Client was the Plaintiff.</w:t>
      </w:r>
    </w:p>
    <w:p w:rsidR="002B04FC" w:rsidRDefault="002B04FC" w:rsidP="00767908">
      <w:pPr>
        <w:numPr>
          <w:ilvl w:val="1"/>
          <w:numId w:val="20"/>
        </w:numPr>
        <w:tabs>
          <w:tab w:val="clear" w:pos="1080"/>
          <w:tab w:val="num" w:pos="0"/>
        </w:tabs>
        <w:ind w:left="720"/>
        <w:jc w:val="both"/>
        <w:rPr>
          <w:rFonts w:ascii="Verdana" w:hAnsi="Verdana"/>
          <w:sz w:val="22"/>
        </w:rPr>
      </w:pPr>
      <w:proofErr w:type="spellStart"/>
      <w:r>
        <w:rPr>
          <w:rFonts w:ascii="Verdana" w:hAnsi="Verdana"/>
          <w:sz w:val="22"/>
        </w:rPr>
        <w:t>EquiCredit</w:t>
      </w:r>
      <w:proofErr w:type="spellEnd"/>
      <w:r>
        <w:rPr>
          <w:rFonts w:ascii="Verdana" w:hAnsi="Verdana"/>
          <w:sz w:val="22"/>
        </w:rPr>
        <w:t xml:space="preserve"> Corporation of America v. Dayton Williams, et al.  Expert Report, November 2001.  Client was the Plaintiff.</w:t>
      </w:r>
    </w:p>
    <w:p w:rsidR="002B04FC" w:rsidRDefault="002B04FC" w:rsidP="00767908">
      <w:pPr>
        <w:numPr>
          <w:ilvl w:val="1"/>
          <w:numId w:val="20"/>
        </w:numPr>
        <w:tabs>
          <w:tab w:val="clear" w:pos="1080"/>
          <w:tab w:val="num" w:pos="0"/>
        </w:tabs>
        <w:ind w:left="720"/>
        <w:jc w:val="both"/>
        <w:rPr>
          <w:rFonts w:ascii="Verdana" w:hAnsi="Verdana"/>
          <w:sz w:val="22"/>
        </w:rPr>
      </w:pPr>
      <w:r>
        <w:rPr>
          <w:rFonts w:ascii="Verdana" w:hAnsi="Verdana"/>
          <w:sz w:val="22"/>
        </w:rPr>
        <w:t xml:space="preserve">Alex and Tina </w:t>
      </w:r>
      <w:proofErr w:type="spellStart"/>
      <w:r>
        <w:rPr>
          <w:rFonts w:ascii="Verdana" w:hAnsi="Verdana"/>
          <w:sz w:val="22"/>
        </w:rPr>
        <w:t>Aklagi</w:t>
      </w:r>
      <w:proofErr w:type="spellEnd"/>
      <w:r>
        <w:rPr>
          <w:rFonts w:ascii="Verdana" w:hAnsi="Verdana"/>
          <w:sz w:val="22"/>
        </w:rPr>
        <w:t xml:space="preserve"> v. </w:t>
      </w:r>
      <w:proofErr w:type="spellStart"/>
      <w:r>
        <w:rPr>
          <w:rFonts w:ascii="Verdana" w:hAnsi="Verdana"/>
          <w:sz w:val="22"/>
        </w:rPr>
        <w:t>EquiCredit</w:t>
      </w:r>
      <w:proofErr w:type="spellEnd"/>
      <w:r>
        <w:rPr>
          <w:rFonts w:ascii="Verdana" w:hAnsi="Verdana"/>
          <w:sz w:val="22"/>
        </w:rPr>
        <w:t xml:space="preserve"> Corporation of Virginia.  Expert Report, December 2001.  Client was the Defendant.</w:t>
      </w:r>
    </w:p>
    <w:p w:rsidR="002B04FC" w:rsidRDefault="002B04FC" w:rsidP="00767908">
      <w:pPr>
        <w:numPr>
          <w:ilvl w:val="1"/>
          <w:numId w:val="20"/>
        </w:numPr>
        <w:tabs>
          <w:tab w:val="clear" w:pos="1080"/>
          <w:tab w:val="num" w:pos="0"/>
        </w:tabs>
        <w:ind w:left="720"/>
        <w:jc w:val="both"/>
        <w:rPr>
          <w:rFonts w:ascii="Verdana" w:hAnsi="Verdana"/>
          <w:sz w:val="22"/>
        </w:rPr>
      </w:pPr>
      <w:proofErr w:type="spellStart"/>
      <w:r>
        <w:rPr>
          <w:rFonts w:ascii="Verdana" w:hAnsi="Verdana"/>
          <w:sz w:val="22"/>
        </w:rPr>
        <w:t>EquiCredit</w:t>
      </w:r>
      <w:proofErr w:type="spellEnd"/>
      <w:r>
        <w:rPr>
          <w:rFonts w:ascii="Verdana" w:hAnsi="Verdana"/>
          <w:sz w:val="22"/>
        </w:rPr>
        <w:t xml:space="preserve"> Corporation of America v. Keith and Kimberly Adkins, et al.  Deposition appearance, January 2002.  Client was the Plaintiff.</w:t>
      </w:r>
    </w:p>
    <w:p w:rsidR="002B04FC" w:rsidRDefault="002B04FC" w:rsidP="00767908">
      <w:pPr>
        <w:numPr>
          <w:ilvl w:val="1"/>
          <w:numId w:val="20"/>
        </w:numPr>
        <w:tabs>
          <w:tab w:val="clear" w:pos="1080"/>
          <w:tab w:val="num" w:pos="0"/>
        </w:tabs>
        <w:ind w:left="720"/>
        <w:jc w:val="both"/>
        <w:rPr>
          <w:rFonts w:ascii="Verdana" w:hAnsi="Verdana"/>
          <w:sz w:val="22"/>
        </w:rPr>
      </w:pPr>
      <w:r>
        <w:rPr>
          <w:rFonts w:ascii="Verdana" w:hAnsi="Verdana"/>
          <w:sz w:val="22"/>
        </w:rPr>
        <w:t xml:space="preserve">Ali M. </w:t>
      </w:r>
      <w:proofErr w:type="spellStart"/>
      <w:r>
        <w:rPr>
          <w:rFonts w:ascii="Verdana" w:hAnsi="Verdana"/>
          <w:sz w:val="22"/>
        </w:rPr>
        <w:t>Alvi</w:t>
      </w:r>
      <w:proofErr w:type="spellEnd"/>
      <w:r>
        <w:rPr>
          <w:rFonts w:ascii="Verdana" w:hAnsi="Verdana"/>
          <w:sz w:val="22"/>
        </w:rPr>
        <w:t xml:space="preserve"> v. Chevy Chase Bank, FSB, et al.  Deposition appearance, July 2002.  Client was the Plaintiff.</w:t>
      </w:r>
    </w:p>
    <w:p w:rsidR="002B04FC" w:rsidRDefault="002B04FC" w:rsidP="00767908">
      <w:pPr>
        <w:numPr>
          <w:ilvl w:val="1"/>
          <w:numId w:val="20"/>
        </w:numPr>
        <w:tabs>
          <w:tab w:val="clear" w:pos="1080"/>
          <w:tab w:val="num" w:pos="0"/>
        </w:tabs>
        <w:ind w:left="720"/>
        <w:jc w:val="both"/>
        <w:rPr>
          <w:rFonts w:ascii="Verdana" w:hAnsi="Verdana"/>
          <w:sz w:val="22"/>
        </w:rPr>
      </w:pPr>
      <w:r>
        <w:rPr>
          <w:rFonts w:ascii="Verdana" w:hAnsi="Verdana"/>
          <w:sz w:val="22"/>
        </w:rPr>
        <w:t>Robert F. Kraft and Helena F. Kraft v. Wheeling National Bank, et al.  Expert Report, August 2002.  Client was the Defendant.</w:t>
      </w:r>
    </w:p>
    <w:p w:rsidR="002B04FC" w:rsidRDefault="002B04FC" w:rsidP="00767908">
      <w:pPr>
        <w:numPr>
          <w:ilvl w:val="1"/>
          <w:numId w:val="20"/>
        </w:numPr>
        <w:tabs>
          <w:tab w:val="clear" w:pos="1080"/>
          <w:tab w:val="num" w:pos="0"/>
        </w:tabs>
        <w:ind w:left="720"/>
        <w:jc w:val="both"/>
        <w:rPr>
          <w:rFonts w:ascii="Verdana" w:hAnsi="Verdana"/>
          <w:sz w:val="22"/>
        </w:rPr>
      </w:pPr>
      <w:r>
        <w:rPr>
          <w:rFonts w:ascii="Verdana" w:hAnsi="Verdana"/>
          <w:sz w:val="22"/>
        </w:rPr>
        <w:t xml:space="preserve">Rose Lynch v. </w:t>
      </w:r>
      <w:proofErr w:type="spellStart"/>
      <w:r>
        <w:rPr>
          <w:rFonts w:ascii="Verdana" w:hAnsi="Verdana"/>
          <w:sz w:val="22"/>
        </w:rPr>
        <w:t>EquiCredit</w:t>
      </w:r>
      <w:proofErr w:type="spellEnd"/>
      <w:r>
        <w:rPr>
          <w:rFonts w:ascii="Verdana" w:hAnsi="Verdana"/>
          <w:sz w:val="22"/>
        </w:rPr>
        <w:t xml:space="preserve"> Corporation, et al.  Expert Report, November 2002.  Client was the Defendant.</w:t>
      </w:r>
    </w:p>
    <w:p w:rsidR="002B04FC" w:rsidRDefault="002B04FC" w:rsidP="00767908">
      <w:pPr>
        <w:numPr>
          <w:ilvl w:val="1"/>
          <w:numId w:val="20"/>
        </w:numPr>
        <w:tabs>
          <w:tab w:val="clear" w:pos="1080"/>
          <w:tab w:val="num" w:pos="0"/>
        </w:tabs>
        <w:ind w:left="720"/>
        <w:jc w:val="both"/>
        <w:rPr>
          <w:rFonts w:ascii="Verdana" w:hAnsi="Verdana"/>
          <w:sz w:val="22"/>
        </w:rPr>
      </w:pPr>
      <w:r>
        <w:rPr>
          <w:rFonts w:ascii="Verdana" w:hAnsi="Verdana"/>
          <w:sz w:val="22"/>
        </w:rPr>
        <w:lastRenderedPageBreak/>
        <w:t xml:space="preserve">Lowell Cowell v. United National Bank, et al.  Expert Report and Deposition appearance, December 2002.  Client was the Plaintiff. </w:t>
      </w:r>
    </w:p>
    <w:p w:rsidR="002B04FC" w:rsidRDefault="002B04FC" w:rsidP="00767908">
      <w:pPr>
        <w:numPr>
          <w:ilvl w:val="0"/>
          <w:numId w:val="21"/>
        </w:numPr>
        <w:tabs>
          <w:tab w:val="clear" w:pos="1080"/>
          <w:tab w:val="num" w:pos="0"/>
        </w:tabs>
        <w:ind w:left="720"/>
        <w:jc w:val="both"/>
        <w:rPr>
          <w:rFonts w:ascii="Verdana" w:hAnsi="Verdana"/>
          <w:sz w:val="22"/>
        </w:rPr>
      </w:pPr>
      <w:r>
        <w:rPr>
          <w:rFonts w:ascii="Verdana" w:hAnsi="Verdana"/>
          <w:sz w:val="22"/>
          <w:szCs w:val="22"/>
        </w:rPr>
        <w:t xml:space="preserve">Jeffrey Scott Runyon and Melissa Runyon vs. </w:t>
      </w:r>
      <w:proofErr w:type="spellStart"/>
      <w:r>
        <w:rPr>
          <w:rFonts w:ascii="Verdana" w:hAnsi="Verdana"/>
          <w:sz w:val="22"/>
          <w:szCs w:val="22"/>
        </w:rPr>
        <w:t>NationsCredit</w:t>
      </w:r>
      <w:proofErr w:type="spellEnd"/>
      <w:r>
        <w:rPr>
          <w:rFonts w:ascii="Verdana" w:hAnsi="Verdana"/>
          <w:sz w:val="22"/>
          <w:szCs w:val="22"/>
        </w:rPr>
        <w:t xml:space="preserve"> Financial Services Corporation d/b/a </w:t>
      </w:r>
      <w:proofErr w:type="spellStart"/>
      <w:r>
        <w:rPr>
          <w:rFonts w:ascii="Verdana" w:hAnsi="Verdana"/>
          <w:sz w:val="22"/>
          <w:szCs w:val="22"/>
        </w:rPr>
        <w:t>EquiCredit</w:t>
      </w:r>
      <w:proofErr w:type="spellEnd"/>
      <w:r>
        <w:rPr>
          <w:rFonts w:ascii="Verdana" w:hAnsi="Verdana"/>
          <w:sz w:val="22"/>
          <w:szCs w:val="22"/>
        </w:rPr>
        <w:t>, et al.  Expert Report, December 2002.  Client was the Defendant.</w:t>
      </w:r>
    </w:p>
    <w:p w:rsidR="002B04FC" w:rsidRDefault="002B04FC" w:rsidP="00767908">
      <w:pPr>
        <w:numPr>
          <w:ilvl w:val="1"/>
          <w:numId w:val="20"/>
        </w:numPr>
        <w:tabs>
          <w:tab w:val="clear" w:pos="1080"/>
          <w:tab w:val="num" w:pos="0"/>
        </w:tabs>
        <w:ind w:left="720"/>
        <w:jc w:val="both"/>
        <w:rPr>
          <w:rFonts w:ascii="Verdana" w:hAnsi="Verdana"/>
          <w:sz w:val="22"/>
        </w:rPr>
      </w:pPr>
      <w:r>
        <w:rPr>
          <w:rFonts w:ascii="Verdana" w:hAnsi="Verdana"/>
          <w:sz w:val="22"/>
        </w:rPr>
        <w:t xml:space="preserve">Sandra D. </w:t>
      </w:r>
      <w:proofErr w:type="spellStart"/>
      <w:r>
        <w:rPr>
          <w:rFonts w:ascii="Verdana" w:hAnsi="Verdana"/>
          <w:sz w:val="22"/>
        </w:rPr>
        <w:t>Schaaf</w:t>
      </w:r>
      <w:proofErr w:type="spellEnd"/>
      <w:r>
        <w:rPr>
          <w:rFonts w:ascii="Verdana" w:hAnsi="Verdana"/>
          <w:sz w:val="22"/>
        </w:rPr>
        <w:t xml:space="preserve"> v. </w:t>
      </w:r>
      <w:proofErr w:type="spellStart"/>
      <w:r>
        <w:rPr>
          <w:rFonts w:ascii="Verdana" w:hAnsi="Verdana"/>
          <w:sz w:val="22"/>
        </w:rPr>
        <w:t>EquiCredit</w:t>
      </w:r>
      <w:proofErr w:type="spellEnd"/>
      <w:r>
        <w:rPr>
          <w:rFonts w:ascii="Verdana" w:hAnsi="Verdana"/>
          <w:sz w:val="22"/>
        </w:rPr>
        <w:t xml:space="preserve"> Corporation of Georgia, et al.  Expert Report, March 2003.  Client was the Defendant. </w:t>
      </w:r>
    </w:p>
    <w:p w:rsidR="002B04FC" w:rsidRDefault="002B04FC" w:rsidP="00767908">
      <w:pPr>
        <w:numPr>
          <w:ilvl w:val="1"/>
          <w:numId w:val="20"/>
        </w:numPr>
        <w:tabs>
          <w:tab w:val="clear" w:pos="1080"/>
          <w:tab w:val="num" w:pos="0"/>
        </w:tabs>
        <w:ind w:left="720"/>
        <w:jc w:val="both"/>
        <w:rPr>
          <w:rFonts w:ascii="Verdana" w:hAnsi="Verdana"/>
          <w:sz w:val="22"/>
        </w:rPr>
      </w:pPr>
      <w:r>
        <w:rPr>
          <w:rFonts w:ascii="Verdana" w:hAnsi="Verdana"/>
          <w:sz w:val="22"/>
        </w:rPr>
        <w:t xml:space="preserve">Barbara L. Jackson v. </w:t>
      </w:r>
      <w:proofErr w:type="spellStart"/>
      <w:r>
        <w:rPr>
          <w:rFonts w:ascii="Verdana" w:hAnsi="Verdana"/>
          <w:sz w:val="22"/>
        </w:rPr>
        <w:t>EquiCredit</w:t>
      </w:r>
      <w:proofErr w:type="spellEnd"/>
      <w:r>
        <w:rPr>
          <w:rFonts w:ascii="Verdana" w:hAnsi="Verdana"/>
          <w:sz w:val="22"/>
        </w:rPr>
        <w:t xml:space="preserve"> Corporation of Georgia, et al.  Expert Report, March 2003.  Client was the Defendant.</w:t>
      </w:r>
    </w:p>
    <w:p w:rsidR="002B04FC" w:rsidRDefault="002B04FC" w:rsidP="00767908">
      <w:pPr>
        <w:numPr>
          <w:ilvl w:val="0"/>
          <w:numId w:val="21"/>
        </w:numPr>
        <w:tabs>
          <w:tab w:val="clear" w:pos="1080"/>
          <w:tab w:val="num" w:pos="0"/>
        </w:tabs>
        <w:ind w:left="720"/>
        <w:jc w:val="both"/>
        <w:rPr>
          <w:rFonts w:ascii="Verdana" w:hAnsi="Verdana"/>
          <w:sz w:val="22"/>
          <w:szCs w:val="22"/>
        </w:rPr>
      </w:pPr>
      <w:r>
        <w:rPr>
          <w:rFonts w:ascii="Verdana" w:hAnsi="Verdana"/>
          <w:sz w:val="22"/>
          <w:szCs w:val="22"/>
        </w:rPr>
        <w:t xml:space="preserve">Pamela L. </w:t>
      </w:r>
      <w:proofErr w:type="spellStart"/>
      <w:r>
        <w:rPr>
          <w:rFonts w:ascii="Verdana" w:hAnsi="Verdana"/>
          <w:sz w:val="22"/>
          <w:szCs w:val="22"/>
        </w:rPr>
        <w:t>Helmick</w:t>
      </w:r>
      <w:proofErr w:type="spellEnd"/>
      <w:r>
        <w:rPr>
          <w:rFonts w:ascii="Verdana" w:hAnsi="Verdana"/>
          <w:sz w:val="22"/>
          <w:szCs w:val="22"/>
        </w:rPr>
        <w:t xml:space="preserve"> and Marian L. Brown, v. </w:t>
      </w:r>
      <w:proofErr w:type="spellStart"/>
      <w:r>
        <w:rPr>
          <w:rFonts w:ascii="Verdana" w:hAnsi="Verdana"/>
          <w:sz w:val="22"/>
          <w:szCs w:val="22"/>
        </w:rPr>
        <w:t>EquiCredit</w:t>
      </w:r>
      <w:proofErr w:type="spellEnd"/>
      <w:r>
        <w:rPr>
          <w:rFonts w:ascii="Verdana" w:hAnsi="Verdana"/>
          <w:sz w:val="22"/>
          <w:szCs w:val="22"/>
        </w:rPr>
        <w:t xml:space="preserve"> Corporation of West Virginia, et al.  Expert Report, March 2003.  Client was the Defendant.</w:t>
      </w:r>
    </w:p>
    <w:p w:rsidR="002B04FC" w:rsidRDefault="002B04FC" w:rsidP="00767908">
      <w:pPr>
        <w:numPr>
          <w:ilvl w:val="0"/>
          <w:numId w:val="21"/>
        </w:numPr>
        <w:tabs>
          <w:tab w:val="clear" w:pos="1080"/>
          <w:tab w:val="num" w:pos="0"/>
        </w:tabs>
        <w:ind w:left="720"/>
        <w:jc w:val="both"/>
        <w:rPr>
          <w:rFonts w:ascii="Verdana" w:hAnsi="Verdana"/>
          <w:sz w:val="22"/>
        </w:rPr>
      </w:pPr>
      <w:r>
        <w:rPr>
          <w:rFonts w:ascii="Verdana" w:hAnsi="Verdana"/>
          <w:sz w:val="22"/>
          <w:szCs w:val="22"/>
        </w:rPr>
        <w:t>Julian</w:t>
      </w:r>
      <w:r>
        <w:rPr>
          <w:rFonts w:ascii="Verdana" w:hAnsi="Verdana"/>
          <w:sz w:val="22"/>
        </w:rPr>
        <w:t xml:space="preserve"> T. Jeffery, Jr. vs. Trans Union, LLC and Bank of America, N.A.  Case analysis for legal counsel for Bank of America, August 2003. </w:t>
      </w:r>
    </w:p>
    <w:p w:rsidR="002B04FC" w:rsidRDefault="002B04FC" w:rsidP="00767908">
      <w:pPr>
        <w:numPr>
          <w:ilvl w:val="0"/>
          <w:numId w:val="21"/>
        </w:numPr>
        <w:tabs>
          <w:tab w:val="clear" w:pos="1080"/>
          <w:tab w:val="num" w:pos="0"/>
        </w:tabs>
        <w:ind w:left="720"/>
        <w:jc w:val="both"/>
        <w:rPr>
          <w:rFonts w:ascii="Verdana" w:hAnsi="Verdana"/>
          <w:sz w:val="22"/>
        </w:rPr>
      </w:pPr>
      <w:r>
        <w:rPr>
          <w:rFonts w:ascii="Verdana" w:hAnsi="Verdana"/>
          <w:sz w:val="22"/>
        </w:rPr>
        <w:t xml:space="preserve">Neil R. Thompson vs. NCO Financial Systems, Inc. and Bank of America.  Case analysis for legal counsel for Bank of America, September 2003.  </w:t>
      </w:r>
    </w:p>
    <w:p w:rsidR="002B04FC" w:rsidRDefault="002B04FC" w:rsidP="00767908">
      <w:pPr>
        <w:numPr>
          <w:ilvl w:val="0"/>
          <w:numId w:val="21"/>
        </w:numPr>
        <w:tabs>
          <w:tab w:val="clear" w:pos="1080"/>
          <w:tab w:val="num" w:pos="0"/>
        </w:tabs>
        <w:ind w:left="720"/>
        <w:jc w:val="both"/>
        <w:rPr>
          <w:rFonts w:ascii="Verdana" w:hAnsi="Verdana"/>
          <w:sz w:val="22"/>
        </w:rPr>
      </w:pPr>
      <w:proofErr w:type="spellStart"/>
      <w:r>
        <w:rPr>
          <w:rFonts w:ascii="Verdana" w:hAnsi="Verdana"/>
          <w:sz w:val="22"/>
        </w:rPr>
        <w:t>EquiCredit</w:t>
      </w:r>
      <w:proofErr w:type="spellEnd"/>
      <w:r>
        <w:rPr>
          <w:rFonts w:ascii="Verdana" w:hAnsi="Verdana"/>
          <w:sz w:val="22"/>
        </w:rPr>
        <w:t xml:space="preserve"> Corporation of America, et al. vs. Joann C. </w:t>
      </w:r>
      <w:proofErr w:type="spellStart"/>
      <w:r>
        <w:rPr>
          <w:rFonts w:ascii="Verdana" w:hAnsi="Verdana"/>
          <w:sz w:val="22"/>
        </w:rPr>
        <w:t>DiMartino</w:t>
      </w:r>
      <w:proofErr w:type="spellEnd"/>
      <w:r>
        <w:rPr>
          <w:rFonts w:ascii="Verdana" w:hAnsi="Verdana"/>
          <w:sz w:val="22"/>
        </w:rPr>
        <w:t xml:space="preserve">, et al.  Case analysis and deposition appearance, November 2003.  Client was the Plaintiff.  </w:t>
      </w:r>
    </w:p>
    <w:p w:rsidR="002B04FC" w:rsidRDefault="002B04FC" w:rsidP="00767908">
      <w:pPr>
        <w:numPr>
          <w:ilvl w:val="0"/>
          <w:numId w:val="21"/>
        </w:numPr>
        <w:tabs>
          <w:tab w:val="clear" w:pos="1080"/>
          <w:tab w:val="num" w:pos="0"/>
        </w:tabs>
        <w:ind w:left="720"/>
        <w:jc w:val="both"/>
        <w:rPr>
          <w:rFonts w:ascii="Verdana" w:hAnsi="Verdana"/>
          <w:sz w:val="22"/>
        </w:rPr>
      </w:pPr>
      <w:r>
        <w:rPr>
          <w:rFonts w:ascii="Verdana" w:hAnsi="Verdana"/>
          <w:sz w:val="22"/>
        </w:rPr>
        <w:t xml:space="preserve">Lt. Charles Freedman, Post 706, Jewish War Veterans, by Larry D. Holman, Trustee Ad Litem vs. Mellon Bank, N.A.  Expert Report, November 2003.  Client was the Plaintiff. </w:t>
      </w:r>
    </w:p>
    <w:p w:rsidR="002B04FC" w:rsidRDefault="002B04FC" w:rsidP="00767908">
      <w:pPr>
        <w:numPr>
          <w:ilvl w:val="0"/>
          <w:numId w:val="21"/>
        </w:numPr>
        <w:tabs>
          <w:tab w:val="clear" w:pos="1080"/>
          <w:tab w:val="num" w:pos="0"/>
        </w:tabs>
        <w:ind w:left="720"/>
        <w:jc w:val="both"/>
        <w:rPr>
          <w:rFonts w:ascii="Verdana" w:hAnsi="Verdana"/>
          <w:sz w:val="22"/>
        </w:rPr>
      </w:pPr>
      <w:r>
        <w:rPr>
          <w:rFonts w:ascii="Verdana" w:hAnsi="Verdana"/>
          <w:sz w:val="22"/>
        </w:rPr>
        <w:t>Donnie Austin and Patsy Austin vs. Infinity Financial Employment Services, LLC, Larry McMichen, New Century Mortgage Corporation, EMC Mortgage Corporation, LaSalle National Bank. Case analysis for legal counsel for defendant Larry McMichen, December 2003.</w:t>
      </w:r>
    </w:p>
    <w:p w:rsidR="002B04FC" w:rsidRDefault="002B04FC" w:rsidP="00767908">
      <w:pPr>
        <w:numPr>
          <w:ilvl w:val="0"/>
          <w:numId w:val="21"/>
        </w:numPr>
        <w:tabs>
          <w:tab w:val="clear" w:pos="1080"/>
          <w:tab w:val="num" w:pos="0"/>
        </w:tabs>
        <w:ind w:left="720"/>
        <w:jc w:val="both"/>
        <w:rPr>
          <w:rFonts w:ascii="Verdana" w:hAnsi="Verdana"/>
          <w:sz w:val="22"/>
        </w:rPr>
      </w:pPr>
      <w:r>
        <w:rPr>
          <w:rFonts w:ascii="Verdana" w:hAnsi="Verdana"/>
          <w:sz w:val="22"/>
        </w:rPr>
        <w:t xml:space="preserve">Marvin B. Green and Marian C. Green v. Len </w:t>
      </w:r>
      <w:proofErr w:type="spellStart"/>
      <w:r>
        <w:rPr>
          <w:rFonts w:ascii="Verdana" w:hAnsi="Verdana"/>
          <w:sz w:val="22"/>
        </w:rPr>
        <w:t>Stoler</w:t>
      </w:r>
      <w:proofErr w:type="spellEnd"/>
      <w:r>
        <w:rPr>
          <w:rFonts w:ascii="Verdana" w:hAnsi="Verdana"/>
          <w:sz w:val="22"/>
        </w:rPr>
        <w:t>, Inc., et al.  Expert Report, May 2004.  The Plaintiffs were the Client.</w:t>
      </w:r>
    </w:p>
    <w:p w:rsidR="002B04FC" w:rsidRDefault="002B04FC" w:rsidP="00767908">
      <w:pPr>
        <w:numPr>
          <w:ilvl w:val="0"/>
          <w:numId w:val="21"/>
        </w:numPr>
        <w:tabs>
          <w:tab w:val="clear" w:pos="1080"/>
          <w:tab w:val="num" w:pos="0"/>
        </w:tabs>
        <w:ind w:left="720"/>
        <w:jc w:val="both"/>
        <w:rPr>
          <w:rFonts w:ascii="Verdana" w:hAnsi="Verdana"/>
          <w:sz w:val="22"/>
        </w:rPr>
      </w:pPr>
      <w:r>
        <w:rPr>
          <w:rFonts w:ascii="Verdana" w:hAnsi="Verdana"/>
          <w:sz w:val="22"/>
          <w:szCs w:val="22"/>
        </w:rPr>
        <w:t xml:space="preserve">Christine Perry Young v. Brown’s Maryland Motors, Inc., d/b/a Toyota of Glen Burnie, and Central Atlantic Toyota.  Expert Report, May 2004.  Client was the Plaintiff.  </w:t>
      </w:r>
    </w:p>
    <w:p w:rsidR="002B04FC" w:rsidRDefault="002B04FC" w:rsidP="00767908">
      <w:pPr>
        <w:numPr>
          <w:ilvl w:val="0"/>
          <w:numId w:val="21"/>
        </w:numPr>
        <w:tabs>
          <w:tab w:val="clear" w:pos="1080"/>
          <w:tab w:val="num" w:pos="0"/>
        </w:tabs>
        <w:ind w:left="720"/>
        <w:jc w:val="both"/>
        <w:rPr>
          <w:rFonts w:ascii="Verdana" w:hAnsi="Verdana"/>
          <w:sz w:val="22"/>
          <w:u w:val="single"/>
        </w:rPr>
      </w:pPr>
      <w:proofErr w:type="spellStart"/>
      <w:r>
        <w:rPr>
          <w:rFonts w:ascii="Verdana" w:hAnsi="Verdana"/>
          <w:sz w:val="22"/>
        </w:rPr>
        <w:t>Jawana</w:t>
      </w:r>
      <w:proofErr w:type="spellEnd"/>
      <w:r>
        <w:rPr>
          <w:rFonts w:ascii="Verdana" w:hAnsi="Verdana"/>
          <w:sz w:val="22"/>
        </w:rPr>
        <w:t xml:space="preserve"> K. Jackson and Jesse J. Jackson v. Imported Cars of Maryland, Inc., et al.  Affidavit, June 2004.  The Plaintiffs were the Client.</w:t>
      </w:r>
    </w:p>
    <w:p w:rsidR="002B04FC" w:rsidRDefault="002B04FC" w:rsidP="00767908">
      <w:pPr>
        <w:numPr>
          <w:ilvl w:val="0"/>
          <w:numId w:val="21"/>
        </w:numPr>
        <w:tabs>
          <w:tab w:val="clear" w:pos="1080"/>
          <w:tab w:val="num" w:pos="0"/>
        </w:tabs>
        <w:ind w:left="720"/>
        <w:jc w:val="both"/>
        <w:rPr>
          <w:rFonts w:ascii="Verdana" w:hAnsi="Verdana"/>
          <w:sz w:val="22"/>
          <w:u w:val="single"/>
        </w:rPr>
      </w:pPr>
      <w:r>
        <w:rPr>
          <w:rFonts w:ascii="Verdana" w:hAnsi="Verdana"/>
          <w:sz w:val="22"/>
        </w:rPr>
        <w:t xml:space="preserve">Standard Federal Bank c/o ABN AMRO Mortgage Group, Inc. v. Gary V. Neff, Mary A. Neff, and First Resolution Investment Corporation c/o CT Corporation Systems, Inc.  Case Analysis, July 2004.  Defendants Gary V. Neff and Mary A. Neff </w:t>
      </w:r>
      <w:proofErr w:type="gramStart"/>
      <w:r>
        <w:rPr>
          <w:rFonts w:ascii="Verdana" w:hAnsi="Verdana"/>
          <w:sz w:val="22"/>
        </w:rPr>
        <w:t>were</w:t>
      </w:r>
      <w:proofErr w:type="gramEnd"/>
      <w:r>
        <w:rPr>
          <w:rFonts w:ascii="Verdana" w:hAnsi="Verdana"/>
          <w:sz w:val="22"/>
        </w:rPr>
        <w:t xml:space="preserve"> the Client.</w:t>
      </w:r>
    </w:p>
    <w:p w:rsidR="002B04FC" w:rsidRDefault="002B04FC" w:rsidP="00767908">
      <w:pPr>
        <w:numPr>
          <w:ilvl w:val="0"/>
          <w:numId w:val="21"/>
        </w:numPr>
        <w:tabs>
          <w:tab w:val="clear" w:pos="1080"/>
          <w:tab w:val="num" w:pos="0"/>
        </w:tabs>
        <w:ind w:left="720"/>
        <w:jc w:val="both"/>
        <w:rPr>
          <w:rFonts w:ascii="Verdana" w:hAnsi="Verdana"/>
          <w:sz w:val="22"/>
          <w:u w:val="single"/>
        </w:rPr>
      </w:pPr>
      <w:r>
        <w:rPr>
          <w:rFonts w:ascii="Verdana" w:hAnsi="Verdana"/>
          <w:sz w:val="22"/>
        </w:rPr>
        <w:t xml:space="preserve">Brian L. </w:t>
      </w:r>
      <w:proofErr w:type="spellStart"/>
      <w:r>
        <w:rPr>
          <w:rFonts w:ascii="Verdana" w:hAnsi="Verdana"/>
          <w:sz w:val="22"/>
        </w:rPr>
        <w:t>Schambach</w:t>
      </w:r>
      <w:proofErr w:type="spellEnd"/>
      <w:r>
        <w:rPr>
          <w:rFonts w:ascii="Verdana" w:hAnsi="Verdana"/>
          <w:sz w:val="22"/>
        </w:rPr>
        <w:t xml:space="preserve">, Lee Ann </w:t>
      </w:r>
      <w:proofErr w:type="spellStart"/>
      <w:r>
        <w:rPr>
          <w:rFonts w:ascii="Verdana" w:hAnsi="Verdana"/>
          <w:sz w:val="22"/>
        </w:rPr>
        <w:t>Schambach</w:t>
      </w:r>
      <w:proofErr w:type="spellEnd"/>
      <w:r>
        <w:rPr>
          <w:rFonts w:ascii="Verdana" w:hAnsi="Verdana"/>
          <w:sz w:val="22"/>
        </w:rPr>
        <w:t xml:space="preserve">, Charles </w:t>
      </w:r>
      <w:proofErr w:type="spellStart"/>
      <w:r>
        <w:rPr>
          <w:rFonts w:ascii="Verdana" w:hAnsi="Verdana"/>
          <w:sz w:val="22"/>
        </w:rPr>
        <w:t>DeFilippo</w:t>
      </w:r>
      <w:proofErr w:type="spellEnd"/>
      <w:r>
        <w:rPr>
          <w:rFonts w:ascii="Verdana" w:hAnsi="Verdana"/>
          <w:sz w:val="22"/>
        </w:rPr>
        <w:t xml:space="preserve">, and Nance L. </w:t>
      </w:r>
      <w:proofErr w:type="spellStart"/>
      <w:r>
        <w:rPr>
          <w:rFonts w:ascii="Verdana" w:hAnsi="Verdana"/>
          <w:sz w:val="22"/>
        </w:rPr>
        <w:t>DeFilippo</w:t>
      </w:r>
      <w:proofErr w:type="spellEnd"/>
      <w:r>
        <w:rPr>
          <w:rFonts w:ascii="Verdana" w:hAnsi="Verdana"/>
          <w:sz w:val="22"/>
        </w:rPr>
        <w:t xml:space="preserve"> v. National City Bank, Amy Roberts, and Edward J. Brennan.  Case Analysis, July 2004.  The Plaintiffs were the Client. </w:t>
      </w:r>
    </w:p>
    <w:p w:rsidR="002B04FC" w:rsidRDefault="002B04FC" w:rsidP="00767908">
      <w:pPr>
        <w:numPr>
          <w:ilvl w:val="0"/>
          <w:numId w:val="21"/>
        </w:numPr>
        <w:tabs>
          <w:tab w:val="clear" w:pos="1080"/>
          <w:tab w:val="num" w:pos="0"/>
        </w:tabs>
        <w:ind w:left="720"/>
        <w:jc w:val="both"/>
        <w:rPr>
          <w:rFonts w:ascii="Verdana" w:hAnsi="Verdana" w:cs="Arial"/>
          <w:color w:val="333333"/>
          <w:sz w:val="22"/>
          <w:szCs w:val="22"/>
        </w:rPr>
      </w:pPr>
      <w:r>
        <w:rPr>
          <w:rFonts w:ascii="Verdana" w:hAnsi="Verdana"/>
          <w:sz w:val="22"/>
        </w:rPr>
        <w:t>Realty Title Services, Inc. v. Cash Store, II, Inc., et al.  Deposition appearance, September 2004.  The Plaintiff was the Client.</w:t>
      </w:r>
    </w:p>
    <w:p w:rsidR="002B04FC" w:rsidRDefault="002B04FC" w:rsidP="00767908">
      <w:pPr>
        <w:numPr>
          <w:ilvl w:val="0"/>
          <w:numId w:val="21"/>
        </w:numPr>
        <w:tabs>
          <w:tab w:val="clear" w:pos="1080"/>
          <w:tab w:val="num" w:pos="0"/>
        </w:tabs>
        <w:ind w:left="720"/>
        <w:jc w:val="both"/>
        <w:rPr>
          <w:rFonts w:ascii="Verdana" w:hAnsi="Verdana" w:cs="Arial"/>
          <w:color w:val="333333"/>
          <w:sz w:val="22"/>
          <w:szCs w:val="22"/>
        </w:rPr>
      </w:pPr>
      <w:r>
        <w:rPr>
          <w:rFonts w:ascii="Verdana" w:hAnsi="Verdana" w:cs="Arial"/>
          <w:color w:val="333333"/>
          <w:sz w:val="22"/>
          <w:szCs w:val="22"/>
        </w:rPr>
        <w:t>Huntington Emergency Physicians Group, Inc. v. William W. Reed and Diann Wiseman.  Case Analysis, September 2004.  Defendant William W. Reed was the Client.</w:t>
      </w:r>
    </w:p>
    <w:p w:rsidR="002B04FC" w:rsidRDefault="002B04FC" w:rsidP="00767908">
      <w:pPr>
        <w:numPr>
          <w:ilvl w:val="0"/>
          <w:numId w:val="21"/>
        </w:numPr>
        <w:tabs>
          <w:tab w:val="clear" w:pos="1080"/>
          <w:tab w:val="num" w:pos="0"/>
        </w:tabs>
        <w:ind w:left="720"/>
        <w:jc w:val="both"/>
        <w:rPr>
          <w:rFonts w:ascii="Verdana" w:hAnsi="Verdana"/>
          <w:sz w:val="22"/>
          <w:szCs w:val="22"/>
        </w:rPr>
      </w:pPr>
      <w:proofErr w:type="spellStart"/>
      <w:r>
        <w:rPr>
          <w:rFonts w:ascii="Verdana" w:hAnsi="Verdana" w:cs="Arial"/>
          <w:color w:val="333333"/>
          <w:sz w:val="22"/>
          <w:szCs w:val="22"/>
        </w:rPr>
        <w:t>Rosevelt</w:t>
      </w:r>
      <w:proofErr w:type="spellEnd"/>
      <w:r>
        <w:rPr>
          <w:rFonts w:ascii="Verdana" w:hAnsi="Verdana" w:cs="Arial"/>
          <w:color w:val="333333"/>
          <w:sz w:val="22"/>
          <w:szCs w:val="22"/>
        </w:rPr>
        <w:t xml:space="preserve"> Ricky Blocker v. Toyota Motor Credit Corporation, et al.  Case Analysis, November 2004.  Defendant Toyota Motor Credit Corporation was the Client. </w:t>
      </w:r>
    </w:p>
    <w:p w:rsidR="002B04FC" w:rsidRDefault="002B04FC" w:rsidP="00767908">
      <w:pPr>
        <w:numPr>
          <w:ilvl w:val="0"/>
          <w:numId w:val="21"/>
        </w:numPr>
        <w:tabs>
          <w:tab w:val="clear" w:pos="1080"/>
          <w:tab w:val="num" w:pos="0"/>
        </w:tabs>
        <w:ind w:left="720"/>
        <w:jc w:val="both"/>
        <w:rPr>
          <w:rFonts w:ascii="Verdana" w:hAnsi="Verdana"/>
          <w:sz w:val="22"/>
          <w:szCs w:val="22"/>
        </w:rPr>
      </w:pPr>
      <w:r>
        <w:rPr>
          <w:rFonts w:ascii="Verdana" w:hAnsi="Verdana" w:cs="Arial"/>
          <w:color w:val="333333"/>
          <w:sz w:val="22"/>
          <w:szCs w:val="22"/>
        </w:rPr>
        <w:lastRenderedPageBreak/>
        <w:t xml:space="preserve">Robert D. </w:t>
      </w:r>
      <w:proofErr w:type="spellStart"/>
      <w:r>
        <w:rPr>
          <w:rFonts w:ascii="Verdana" w:hAnsi="Verdana" w:cs="Arial"/>
          <w:color w:val="333333"/>
          <w:sz w:val="22"/>
          <w:szCs w:val="22"/>
        </w:rPr>
        <w:t>Fouse</w:t>
      </w:r>
      <w:proofErr w:type="spellEnd"/>
      <w:r>
        <w:rPr>
          <w:rFonts w:ascii="Verdana" w:hAnsi="Verdana" w:cs="Arial"/>
          <w:color w:val="333333"/>
          <w:sz w:val="22"/>
          <w:szCs w:val="22"/>
        </w:rPr>
        <w:t xml:space="preserve"> and Bridget </w:t>
      </w:r>
      <w:proofErr w:type="spellStart"/>
      <w:r>
        <w:rPr>
          <w:rFonts w:ascii="Verdana" w:hAnsi="Verdana" w:cs="Arial"/>
          <w:color w:val="333333"/>
          <w:sz w:val="22"/>
          <w:szCs w:val="22"/>
        </w:rPr>
        <w:t>Fouse</w:t>
      </w:r>
      <w:proofErr w:type="spellEnd"/>
      <w:r>
        <w:rPr>
          <w:rFonts w:ascii="Verdana" w:hAnsi="Verdana" w:cs="Arial"/>
          <w:color w:val="333333"/>
          <w:sz w:val="22"/>
          <w:szCs w:val="22"/>
        </w:rPr>
        <w:t xml:space="preserve"> v. </w:t>
      </w:r>
      <w:proofErr w:type="spellStart"/>
      <w:r>
        <w:rPr>
          <w:rFonts w:ascii="Verdana" w:hAnsi="Verdana" w:cs="Arial"/>
          <w:color w:val="333333"/>
          <w:sz w:val="22"/>
          <w:szCs w:val="22"/>
        </w:rPr>
        <w:t>NationsCredit</w:t>
      </w:r>
      <w:proofErr w:type="spellEnd"/>
      <w:r>
        <w:rPr>
          <w:rFonts w:ascii="Verdana" w:hAnsi="Verdana" w:cs="Arial"/>
          <w:color w:val="333333"/>
          <w:sz w:val="22"/>
          <w:szCs w:val="22"/>
        </w:rPr>
        <w:t xml:space="preserve"> Financial Services Corporation d/b/a </w:t>
      </w:r>
      <w:proofErr w:type="spellStart"/>
      <w:r>
        <w:rPr>
          <w:rFonts w:ascii="Verdana" w:hAnsi="Verdana" w:cs="Arial"/>
          <w:color w:val="333333"/>
          <w:sz w:val="22"/>
          <w:szCs w:val="22"/>
        </w:rPr>
        <w:t>EquiCredit</w:t>
      </w:r>
      <w:proofErr w:type="spellEnd"/>
      <w:r>
        <w:rPr>
          <w:rFonts w:ascii="Verdana" w:hAnsi="Verdana" w:cs="Arial"/>
          <w:color w:val="333333"/>
          <w:sz w:val="22"/>
          <w:szCs w:val="22"/>
        </w:rPr>
        <w:t xml:space="preserve"> Corporation, et al.  Expert Report, January 2005.  Defendant </w:t>
      </w:r>
      <w:proofErr w:type="spellStart"/>
      <w:r>
        <w:rPr>
          <w:rFonts w:ascii="Verdana" w:hAnsi="Verdana" w:cs="Arial"/>
          <w:color w:val="333333"/>
          <w:sz w:val="22"/>
          <w:szCs w:val="22"/>
        </w:rPr>
        <w:t>NationsCredit</w:t>
      </w:r>
      <w:proofErr w:type="spellEnd"/>
      <w:r>
        <w:rPr>
          <w:rFonts w:ascii="Verdana" w:hAnsi="Verdana" w:cs="Arial"/>
          <w:color w:val="333333"/>
          <w:sz w:val="22"/>
          <w:szCs w:val="22"/>
        </w:rPr>
        <w:t xml:space="preserve"> Financial Services Corporation d/b/a </w:t>
      </w:r>
      <w:proofErr w:type="spellStart"/>
      <w:r>
        <w:rPr>
          <w:rFonts w:ascii="Verdana" w:hAnsi="Verdana" w:cs="Arial"/>
          <w:color w:val="333333"/>
          <w:sz w:val="22"/>
          <w:szCs w:val="22"/>
        </w:rPr>
        <w:t>EquiCredit</w:t>
      </w:r>
      <w:proofErr w:type="spellEnd"/>
      <w:r>
        <w:rPr>
          <w:rFonts w:ascii="Verdana" w:hAnsi="Verdana" w:cs="Arial"/>
          <w:color w:val="333333"/>
          <w:sz w:val="22"/>
          <w:szCs w:val="22"/>
        </w:rPr>
        <w:t xml:space="preserve"> was the Client.</w:t>
      </w:r>
    </w:p>
    <w:p w:rsidR="002B04FC" w:rsidRDefault="002B04FC" w:rsidP="00767908">
      <w:pPr>
        <w:numPr>
          <w:ilvl w:val="0"/>
          <w:numId w:val="21"/>
        </w:numPr>
        <w:tabs>
          <w:tab w:val="clear" w:pos="1080"/>
          <w:tab w:val="num" w:pos="0"/>
        </w:tabs>
        <w:ind w:left="720"/>
        <w:jc w:val="both"/>
        <w:rPr>
          <w:rFonts w:ascii="Verdana" w:hAnsi="Verdana"/>
          <w:sz w:val="22"/>
          <w:szCs w:val="22"/>
        </w:rPr>
      </w:pPr>
      <w:r>
        <w:rPr>
          <w:rFonts w:ascii="Verdana" w:hAnsi="Verdana"/>
          <w:sz w:val="22"/>
          <w:szCs w:val="22"/>
        </w:rPr>
        <w:t xml:space="preserve">James Quinn and Linda Quinn, Plaintiffs vs. </w:t>
      </w:r>
      <w:proofErr w:type="spellStart"/>
      <w:r>
        <w:rPr>
          <w:rFonts w:ascii="Verdana" w:hAnsi="Verdana"/>
          <w:sz w:val="22"/>
          <w:szCs w:val="22"/>
        </w:rPr>
        <w:t>NationsCredit</w:t>
      </w:r>
      <w:proofErr w:type="spellEnd"/>
      <w:r>
        <w:rPr>
          <w:rFonts w:ascii="Verdana" w:hAnsi="Verdana"/>
          <w:sz w:val="22"/>
          <w:szCs w:val="22"/>
        </w:rPr>
        <w:t xml:space="preserve"> Financial Services Corporation d/b/a </w:t>
      </w:r>
      <w:proofErr w:type="spellStart"/>
      <w:r>
        <w:rPr>
          <w:rFonts w:ascii="Verdana" w:hAnsi="Verdana"/>
          <w:sz w:val="22"/>
          <w:szCs w:val="22"/>
        </w:rPr>
        <w:t>EquiCredit</w:t>
      </w:r>
      <w:proofErr w:type="spellEnd"/>
      <w:r>
        <w:rPr>
          <w:rFonts w:ascii="Verdana" w:hAnsi="Verdana"/>
          <w:sz w:val="22"/>
          <w:szCs w:val="22"/>
        </w:rPr>
        <w:t xml:space="preserve"> Corporation, et al.  Expert Report, February 2005.  Defendant </w:t>
      </w:r>
      <w:proofErr w:type="spellStart"/>
      <w:r>
        <w:rPr>
          <w:rFonts w:ascii="Verdana" w:hAnsi="Verdana"/>
          <w:sz w:val="22"/>
          <w:szCs w:val="22"/>
        </w:rPr>
        <w:t>NationsCredit</w:t>
      </w:r>
      <w:proofErr w:type="spellEnd"/>
      <w:r>
        <w:rPr>
          <w:rFonts w:ascii="Verdana" w:hAnsi="Verdana"/>
          <w:sz w:val="22"/>
          <w:szCs w:val="22"/>
        </w:rPr>
        <w:t xml:space="preserve"> Financial Services Corporation d/b/a </w:t>
      </w:r>
      <w:proofErr w:type="spellStart"/>
      <w:r>
        <w:rPr>
          <w:rFonts w:ascii="Verdana" w:hAnsi="Verdana"/>
          <w:sz w:val="22"/>
          <w:szCs w:val="22"/>
        </w:rPr>
        <w:t>EquiCredit</w:t>
      </w:r>
      <w:proofErr w:type="spellEnd"/>
      <w:r>
        <w:rPr>
          <w:rFonts w:ascii="Verdana" w:hAnsi="Verdana"/>
          <w:sz w:val="22"/>
          <w:szCs w:val="22"/>
        </w:rPr>
        <w:t xml:space="preserve"> Corporation was the Client.  </w:t>
      </w:r>
    </w:p>
    <w:p w:rsidR="002B04FC" w:rsidRDefault="002B04FC" w:rsidP="00767908">
      <w:pPr>
        <w:numPr>
          <w:ilvl w:val="0"/>
          <w:numId w:val="21"/>
        </w:numPr>
        <w:tabs>
          <w:tab w:val="clear" w:pos="1080"/>
          <w:tab w:val="num" w:pos="0"/>
        </w:tabs>
        <w:ind w:left="720"/>
        <w:jc w:val="both"/>
        <w:rPr>
          <w:rFonts w:ascii="Verdana" w:hAnsi="Verdana"/>
          <w:sz w:val="22"/>
          <w:u w:val="single"/>
        </w:rPr>
      </w:pPr>
      <w:r>
        <w:rPr>
          <w:rFonts w:ascii="Verdana" w:hAnsi="Verdana"/>
          <w:sz w:val="22"/>
          <w:szCs w:val="22"/>
        </w:rPr>
        <w:t xml:space="preserve">SLN, LLC, d/b/a Commonwealth Sign &amp; Novelty v. Sports Collectors Guild, Inc. and Patrice </w:t>
      </w:r>
      <w:proofErr w:type="spellStart"/>
      <w:r>
        <w:rPr>
          <w:rFonts w:ascii="Verdana" w:hAnsi="Verdana"/>
          <w:sz w:val="22"/>
          <w:szCs w:val="22"/>
        </w:rPr>
        <w:t>Lagnier</w:t>
      </w:r>
      <w:proofErr w:type="spellEnd"/>
      <w:r>
        <w:rPr>
          <w:rFonts w:ascii="Verdana" w:hAnsi="Verdana"/>
          <w:sz w:val="22"/>
          <w:szCs w:val="22"/>
        </w:rPr>
        <w:t xml:space="preserve">.  Expert Report, February 2005.  The two Defendants were the Clients.  </w:t>
      </w:r>
    </w:p>
    <w:p w:rsidR="002B04FC" w:rsidRDefault="002B04FC" w:rsidP="00767908">
      <w:pPr>
        <w:numPr>
          <w:ilvl w:val="0"/>
          <w:numId w:val="21"/>
        </w:numPr>
        <w:tabs>
          <w:tab w:val="clear" w:pos="1080"/>
          <w:tab w:val="num" w:pos="0"/>
        </w:tabs>
        <w:ind w:left="720"/>
        <w:jc w:val="both"/>
        <w:rPr>
          <w:rFonts w:ascii="Verdana" w:hAnsi="Verdana"/>
          <w:sz w:val="22"/>
          <w:u w:val="single"/>
        </w:rPr>
      </w:pPr>
      <w:r>
        <w:rPr>
          <w:rFonts w:ascii="Verdana" w:hAnsi="Verdana"/>
          <w:sz w:val="22"/>
          <w:szCs w:val="22"/>
        </w:rPr>
        <w:t>United Bank, Inc. v. Raymond E. Church, Lee H. Church, et al.  Expert Report, March 2005.  Deposition appearance, July 2005.  The Defendants Raymond E. Church and Lee H. Church were the Clients.</w:t>
      </w:r>
    </w:p>
    <w:p w:rsidR="002B04FC" w:rsidRDefault="002B04FC" w:rsidP="00767908">
      <w:pPr>
        <w:numPr>
          <w:ilvl w:val="0"/>
          <w:numId w:val="21"/>
        </w:numPr>
        <w:tabs>
          <w:tab w:val="clear" w:pos="1080"/>
          <w:tab w:val="num" w:pos="0"/>
        </w:tabs>
        <w:ind w:left="720"/>
        <w:jc w:val="both"/>
        <w:rPr>
          <w:rFonts w:ascii="Verdana" w:hAnsi="Verdana"/>
          <w:sz w:val="22"/>
          <w:u w:val="single"/>
        </w:rPr>
      </w:pPr>
      <w:r>
        <w:rPr>
          <w:rFonts w:ascii="Verdana" w:hAnsi="Verdana"/>
          <w:sz w:val="22"/>
          <w:szCs w:val="22"/>
        </w:rPr>
        <w:t xml:space="preserve">Robert A. Warner and Marian L. Warner v. Premier at Highlands, LLC.  Expert Report, May 2005.  Court testimony, February 2006.  The two Plaintiffs were the Clients.  </w:t>
      </w:r>
    </w:p>
    <w:p w:rsidR="002B04FC" w:rsidRDefault="002B04FC" w:rsidP="00767908">
      <w:pPr>
        <w:numPr>
          <w:ilvl w:val="0"/>
          <w:numId w:val="21"/>
        </w:numPr>
        <w:tabs>
          <w:tab w:val="clear" w:pos="1080"/>
          <w:tab w:val="num" w:pos="0"/>
        </w:tabs>
        <w:ind w:left="720"/>
        <w:jc w:val="both"/>
        <w:rPr>
          <w:rFonts w:ascii="Verdana" w:hAnsi="Verdana"/>
          <w:sz w:val="22"/>
          <w:u w:val="single"/>
        </w:rPr>
      </w:pPr>
      <w:r>
        <w:rPr>
          <w:rFonts w:ascii="Verdana" w:hAnsi="Verdana"/>
          <w:sz w:val="22"/>
          <w:szCs w:val="22"/>
        </w:rPr>
        <w:t xml:space="preserve">Edward A. Gadd, Jr. and Patricia K. Gadd v. </w:t>
      </w:r>
      <w:proofErr w:type="spellStart"/>
      <w:r>
        <w:rPr>
          <w:rFonts w:ascii="Verdana" w:hAnsi="Verdana"/>
          <w:sz w:val="22"/>
          <w:szCs w:val="22"/>
        </w:rPr>
        <w:t>EquiCredit</w:t>
      </w:r>
      <w:proofErr w:type="spellEnd"/>
      <w:r>
        <w:rPr>
          <w:rFonts w:ascii="Verdana" w:hAnsi="Verdana"/>
          <w:sz w:val="22"/>
          <w:szCs w:val="22"/>
        </w:rPr>
        <w:t xml:space="preserve"> Corporation of West Virginia, </w:t>
      </w:r>
      <w:proofErr w:type="spellStart"/>
      <w:r>
        <w:rPr>
          <w:rFonts w:ascii="Verdana" w:hAnsi="Verdana"/>
          <w:sz w:val="22"/>
          <w:szCs w:val="22"/>
        </w:rPr>
        <w:t>NationsCredit</w:t>
      </w:r>
      <w:proofErr w:type="spellEnd"/>
      <w:r>
        <w:rPr>
          <w:rFonts w:ascii="Verdana" w:hAnsi="Verdana"/>
          <w:sz w:val="22"/>
          <w:szCs w:val="22"/>
        </w:rPr>
        <w:t xml:space="preserve"> Financial Services Corporation, and Fairbanks Capital Corporation.  Expert Report, May 2005.  The three Defendants were the Clients. </w:t>
      </w:r>
    </w:p>
    <w:p w:rsidR="002B04FC" w:rsidRDefault="002B04FC" w:rsidP="00767908">
      <w:pPr>
        <w:numPr>
          <w:ilvl w:val="0"/>
          <w:numId w:val="21"/>
        </w:numPr>
        <w:tabs>
          <w:tab w:val="clear" w:pos="1080"/>
          <w:tab w:val="num" w:pos="0"/>
        </w:tabs>
        <w:ind w:left="720"/>
        <w:jc w:val="both"/>
        <w:rPr>
          <w:rFonts w:ascii="Verdana" w:hAnsi="Verdana"/>
          <w:sz w:val="22"/>
          <w:u w:val="single"/>
        </w:rPr>
      </w:pPr>
      <w:r>
        <w:rPr>
          <w:rFonts w:ascii="Verdana" w:hAnsi="Verdana"/>
          <w:sz w:val="22"/>
          <w:szCs w:val="22"/>
        </w:rPr>
        <w:t xml:space="preserve">Wachovia Bank, N.A. v. Benjamin </w:t>
      </w:r>
      <w:proofErr w:type="spellStart"/>
      <w:r>
        <w:rPr>
          <w:rFonts w:ascii="Verdana" w:hAnsi="Verdana"/>
          <w:sz w:val="22"/>
          <w:szCs w:val="22"/>
        </w:rPr>
        <w:t>McCottry</w:t>
      </w:r>
      <w:proofErr w:type="spellEnd"/>
      <w:r>
        <w:rPr>
          <w:rFonts w:ascii="Verdana" w:hAnsi="Verdana"/>
          <w:sz w:val="22"/>
          <w:szCs w:val="22"/>
        </w:rPr>
        <w:t xml:space="preserve"> and Geraldine I. </w:t>
      </w:r>
      <w:proofErr w:type="spellStart"/>
      <w:r>
        <w:rPr>
          <w:rFonts w:ascii="Verdana" w:hAnsi="Verdana"/>
          <w:sz w:val="22"/>
          <w:szCs w:val="22"/>
        </w:rPr>
        <w:t>McCottry</w:t>
      </w:r>
      <w:proofErr w:type="spellEnd"/>
      <w:r>
        <w:rPr>
          <w:rFonts w:ascii="Verdana" w:hAnsi="Verdana"/>
          <w:sz w:val="22"/>
          <w:szCs w:val="22"/>
        </w:rPr>
        <w:t>.  Case Analysis for counsel to the Defendants, June 2005.  Deposition Appearance, September 2006.</w:t>
      </w:r>
    </w:p>
    <w:p w:rsidR="002B04FC" w:rsidRDefault="002B04FC" w:rsidP="00767908">
      <w:pPr>
        <w:numPr>
          <w:ilvl w:val="0"/>
          <w:numId w:val="21"/>
        </w:numPr>
        <w:tabs>
          <w:tab w:val="clear" w:pos="1080"/>
          <w:tab w:val="num" w:pos="0"/>
        </w:tabs>
        <w:ind w:left="720"/>
        <w:jc w:val="both"/>
        <w:rPr>
          <w:rFonts w:ascii="Verdana" w:hAnsi="Verdana"/>
          <w:sz w:val="22"/>
          <w:u w:val="single"/>
        </w:rPr>
      </w:pPr>
      <w:r>
        <w:rPr>
          <w:rFonts w:ascii="Verdana" w:hAnsi="Verdana"/>
          <w:sz w:val="22"/>
          <w:szCs w:val="22"/>
        </w:rPr>
        <w:t>Robert B. Byrne v. Towson Ford Sales, Inc., et al.  Expert Report, July 2005.  Deposition appearance, January 2006.  The Defendant Towson Ford Sales, Inc. was the Client.</w:t>
      </w:r>
    </w:p>
    <w:p w:rsidR="002B04FC" w:rsidRDefault="002B04FC" w:rsidP="00767908">
      <w:pPr>
        <w:numPr>
          <w:ilvl w:val="0"/>
          <w:numId w:val="21"/>
        </w:numPr>
        <w:tabs>
          <w:tab w:val="clear" w:pos="1080"/>
          <w:tab w:val="num" w:pos="0"/>
        </w:tabs>
        <w:ind w:left="720"/>
        <w:jc w:val="both"/>
        <w:rPr>
          <w:rFonts w:ascii="Verdana" w:hAnsi="Verdana"/>
          <w:sz w:val="22"/>
          <w:u w:val="single"/>
        </w:rPr>
      </w:pPr>
      <w:r>
        <w:rPr>
          <w:rFonts w:ascii="Verdana" w:hAnsi="Verdana"/>
          <w:sz w:val="22"/>
          <w:szCs w:val="22"/>
        </w:rPr>
        <w:t xml:space="preserve">Charles and Macie Stewart v. </w:t>
      </w:r>
      <w:proofErr w:type="spellStart"/>
      <w:r>
        <w:rPr>
          <w:rFonts w:ascii="Verdana" w:hAnsi="Verdana"/>
          <w:sz w:val="22"/>
          <w:szCs w:val="22"/>
        </w:rPr>
        <w:t>Troese</w:t>
      </w:r>
      <w:proofErr w:type="spellEnd"/>
      <w:r>
        <w:rPr>
          <w:rFonts w:ascii="Verdana" w:hAnsi="Verdana"/>
          <w:sz w:val="22"/>
          <w:szCs w:val="22"/>
        </w:rPr>
        <w:t xml:space="preserve"> Title Services, Inc.  Case Analysis and Estimate of Compensatory Damages for counsel to the Plaintiffs, July 2005.  </w:t>
      </w:r>
    </w:p>
    <w:p w:rsidR="002B04FC" w:rsidRDefault="002B04FC" w:rsidP="00767908">
      <w:pPr>
        <w:numPr>
          <w:ilvl w:val="0"/>
          <w:numId w:val="21"/>
        </w:numPr>
        <w:tabs>
          <w:tab w:val="clear" w:pos="1080"/>
          <w:tab w:val="num" w:pos="0"/>
        </w:tabs>
        <w:ind w:left="720"/>
        <w:jc w:val="both"/>
        <w:rPr>
          <w:rFonts w:ascii="Verdana" w:hAnsi="Verdana" w:cs="Arial"/>
          <w:color w:val="333333"/>
          <w:sz w:val="22"/>
          <w:szCs w:val="19"/>
        </w:rPr>
      </w:pPr>
      <w:r>
        <w:rPr>
          <w:rFonts w:ascii="Verdana" w:hAnsi="Verdana"/>
          <w:sz w:val="22"/>
          <w:szCs w:val="22"/>
        </w:rPr>
        <w:t xml:space="preserve">Virginia M. Sprague v. </w:t>
      </w:r>
      <w:proofErr w:type="spellStart"/>
      <w:r>
        <w:rPr>
          <w:rFonts w:ascii="Verdana" w:hAnsi="Verdana"/>
          <w:sz w:val="22"/>
          <w:szCs w:val="22"/>
        </w:rPr>
        <w:t>NationsCredit</w:t>
      </w:r>
      <w:proofErr w:type="spellEnd"/>
      <w:r>
        <w:rPr>
          <w:rFonts w:ascii="Verdana" w:hAnsi="Verdana"/>
          <w:sz w:val="22"/>
          <w:szCs w:val="22"/>
        </w:rPr>
        <w:t xml:space="preserve"> Financial Services Corporation, Fairbanks Capital Corporation, et al.  Expert Report, July 2005.  The Defendants </w:t>
      </w:r>
      <w:proofErr w:type="spellStart"/>
      <w:r>
        <w:rPr>
          <w:rFonts w:ascii="Verdana" w:hAnsi="Verdana"/>
          <w:sz w:val="22"/>
          <w:szCs w:val="22"/>
        </w:rPr>
        <w:t>NationsCredit</w:t>
      </w:r>
      <w:proofErr w:type="spellEnd"/>
      <w:r>
        <w:rPr>
          <w:rFonts w:ascii="Verdana" w:hAnsi="Verdana"/>
          <w:sz w:val="22"/>
          <w:szCs w:val="22"/>
        </w:rPr>
        <w:t xml:space="preserve"> Financial Services Corporation and Fairbanks Capital Corporation were the Clients.</w:t>
      </w:r>
    </w:p>
    <w:p w:rsidR="002B04FC" w:rsidRDefault="002B04FC" w:rsidP="00767908">
      <w:pPr>
        <w:numPr>
          <w:ilvl w:val="0"/>
          <w:numId w:val="21"/>
        </w:numPr>
        <w:tabs>
          <w:tab w:val="clear" w:pos="1080"/>
          <w:tab w:val="num" w:pos="0"/>
        </w:tabs>
        <w:ind w:left="720"/>
        <w:jc w:val="both"/>
        <w:rPr>
          <w:rFonts w:ascii="Verdana" w:hAnsi="Verdana"/>
          <w:sz w:val="22"/>
          <w:szCs w:val="22"/>
        </w:rPr>
      </w:pPr>
      <w:r>
        <w:rPr>
          <w:rFonts w:ascii="Verdana" w:hAnsi="Verdana" w:cs="Arial"/>
          <w:color w:val="333333"/>
          <w:sz w:val="22"/>
          <w:szCs w:val="19"/>
        </w:rPr>
        <w:t xml:space="preserve">G. Edgar Harr Sons’ Corporation and Penn National Insurance Company v. Mercantile-Safe Deposit and Trust Company.  Case Analysis for counsel for Penn National Insurance Company, September 2005. </w:t>
      </w:r>
    </w:p>
    <w:p w:rsidR="002B04FC" w:rsidRDefault="002B04FC" w:rsidP="00767908">
      <w:pPr>
        <w:numPr>
          <w:ilvl w:val="0"/>
          <w:numId w:val="21"/>
        </w:numPr>
        <w:tabs>
          <w:tab w:val="clear" w:pos="1080"/>
          <w:tab w:val="num" w:pos="0"/>
        </w:tabs>
        <w:ind w:left="720"/>
        <w:jc w:val="both"/>
        <w:rPr>
          <w:rFonts w:ascii="Verdana" w:hAnsi="Verdana"/>
          <w:sz w:val="22"/>
          <w:u w:val="single"/>
        </w:rPr>
      </w:pPr>
      <w:r>
        <w:rPr>
          <w:rFonts w:ascii="Verdana" w:hAnsi="Verdana"/>
          <w:sz w:val="22"/>
          <w:szCs w:val="22"/>
        </w:rPr>
        <w:t xml:space="preserve">Kelly L. </w:t>
      </w:r>
      <w:proofErr w:type="spellStart"/>
      <w:r>
        <w:rPr>
          <w:rFonts w:ascii="Verdana" w:hAnsi="Verdana"/>
          <w:sz w:val="22"/>
          <w:szCs w:val="22"/>
        </w:rPr>
        <w:t>Eigler</w:t>
      </w:r>
      <w:proofErr w:type="spellEnd"/>
      <w:r>
        <w:rPr>
          <w:rFonts w:ascii="Verdana" w:hAnsi="Verdana"/>
          <w:sz w:val="22"/>
          <w:szCs w:val="22"/>
        </w:rPr>
        <w:t xml:space="preserve"> v. CitiFinancial, Inc.  Expert Report, September 2005.  Citi-Financial, Inc. was the Client.</w:t>
      </w:r>
    </w:p>
    <w:p w:rsidR="002B04FC" w:rsidRDefault="002B04FC" w:rsidP="00767908">
      <w:pPr>
        <w:numPr>
          <w:ilvl w:val="0"/>
          <w:numId w:val="21"/>
        </w:numPr>
        <w:tabs>
          <w:tab w:val="clear" w:pos="1080"/>
          <w:tab w:val="num" w:pos="0"/>
        </w:tabs>
        <w:ind w:left="720"/>
        <w:jc w:val="both"/>
        <w:rPr>
          <w:rFonts w:ascii="Verdana" w:hAnsi="Verdana"/>
          <w:sz w:val="22"/>
          <w:u w:val="single"/>
        </w:rPr>
      </w:pPr>
      <w:r>
        <w:rPr>
          <w:rFonts w:ascii="Verdana" w:hAnsi="Verdana"/>
          <w:sz w:val="22"/>
          <w:szCs w:val="22"/>
        </w:rPr>
        <w:t xml:space="preserve">Georgia Bryant-Macon v. CitiFinancial, Inc.  Expert Report, September 2005.  CitiFinancial, Inc. was the Client. </w:t>
      </w:r>
    </w:p>
    <w:p w:rsidR="002B04FC" w:rsidRDefault="002B04FC" w:rsidP="00767908">
      <w:pPr>
        <w:numPr>
          <w:ilvl w:val="0"/>
          <w:numId w:val="21"/>
        </w:numPr>
        <w:tabs>
          <w:tab w:val="clear" w:pos="1080"/>
          <w:tab w:val="num" w:pos="0"/>
        </w:tabs>
        <w:ind w:left="720"/>
        <w:jc w:val="both"/>
        <w:rPr>
          <w:rFonts w:ascii="Verdana" w:hAnsi="Verdana"/>
          <w:sz w:val="22"/>
          <w:u w:val="single"/>
        </w:rPr>
      </w:pPr>
      <w:proofErr w:type="spellStart"/>
      <w:r>
        <w:rPr>
          <w:rFonts w:ascii="Verdana" w:hAnsi="Verdana"/>
          <w:sz w:val="22"/>
          <w:szCs w:val="22"/>
        </w:rPr>
        <w:t>Ameriquest</w:t>
      </w:r>
      <w:proofErr w:type="spellEnd"/>
      <w:r>
        <w:rPr>
          <w:rFonts w:ascii="Verdana" w:hAnsi="Verdana"/>
          <w:sz w:val="22"/>
          <w:szCs w:val="22"/>
        </w:rPr>
        <w:t xml:space="preserve"> Mortgage Company v. Eugene E. Brown and Debra A. Brown.  Case Analysis, October 2005.  Deposition appearance, May 2006.  The Defendants were the Clients.  </w:t>
      </w:r>
    </w:p>
    <w:p w:rsidR="002B04FC" w:rsidRDefault="002B04FC" w:rsidP="00767908">
      <w:pPr>
        <w:numPr>
          <w:ilvl w:val="0"/>
          <w:numId w:val="21"/>
        </w:numPr>
        <w:tabs>
          <w:tab w:val="clear" w:pos="1080"/>
          <w:tab w:val="num" w:pos="0"/>
        </w:tabs>
        <w:ind w:left="720"/>
        <w:jc w:val="both"/>
        <w:rPr>
          <w:rFonts w:ascii="Verdana" w:hAnsi="Verdana"/>
          <w:sz w:val="22"/>
          <w:u w:val="single"/>
        </w:rPr>
      </w:pPr>
      <w:r>
        <w:rPr>
          <w:rFonts w:ascii="Verdana" w:hAnsi="Verdana"/>
          <w:sz w:val="22"/>
          <w:szCs w:val="22"/>
        </w:rPr>
        <w:t xml:space="preserve">Eileen F. </w:t>
      </w:r>
      <w:proofErr w:type="spellStart"/>
      <w:r>
        <w:rPr>
          <w:rFonts w:ascii="Verdana" w:hAnsi="Verdana"/>
          <w:sz w:val="22"/>
          <w:szCs w:val="22"/>
        </w:rPr>
        <w:t>Lentchner</w:t>
      </w:r>
      <w:proofErr w:type="spellEnd"/>
      <w:r>
        <w:rPr>
          <w:rFonts w:ascii="Verdana" w:hAnsi="Verdana"/>
          <w:sz w:val="22"/>
          <w:szCs w:val="22"/>
        </w:rPr>
        <w:t>-Dorsey v. Experian Information Solutions, Inc. and Select Portfolio Servicing, Inc.  Expert Report, Octob</w:t>
      </w:r>
      <w:r w:rsidR="00DF3127">
        <w:rPr>
          <w:rFonts w:ascii="Verdana" w:hAnsi="Verdana"/>
          <w:sz w:val="22"/>
          <w:szCs w:val="22"/>
        </w:rPr>
        <w:t>er 2005.  Defendant Select Port</w:t>
      </w:r>
      <w:r>
        <w:rPr>
          <w:rFonts w:ascii="Verdana" w:hAnsi="Verdana"/>
          <w:sz w:val="22"/>
          <w:szCs w:val="22"/>
        </w:rPr>
        <w:t>folio Servicing, Inc. was the Client.</w:t>
      </w:r>
    </w:p>
    <w:p w:rsidR="002B04FC" w:rsidRDefault="002B04FC" w:rsidP="00767908">
      <w:pPr>
        <w:numPr>
          <w:ilvl w:val="0"/>
          <w:numId w:val="21"/>
        </w:numPr>
        <w:tabs>
          <w:tab w:val="clear" w:pos="1080"/>
          <w:tab w:val="num" w:pos="0"/>
        </w:tabs>
        <w:ind w:left="720"/>
        <w:jc w:val="both"/>
        <w:rPr>
          <w:rFonts w:ascii="Verdana" w:hAnsi="Verdana"/>
          <w:sz w:val="22"/>
          <w:u w:val="single"/>
        </w:rPr>
      </w:pPr>
      <w:r>
        <w:rPr>
          <w:rFonts w:ascii="Verdana" w:hAnsi="Verdana"/>
          <w:sz w:val="22"/>
        </w:rPr>
        <w:lastRenderedPageBreak/>
        <w:t xml:space="preserve">James </w:t>
      </w:r>
      <w:r>
        <w:rPr>
          <w:rFonts w:ascii="Verdana" w:hAnsi="Verdana"/>
          <w:sz w:val="22"/>
          <w:szCs w:val="22"/>
        </w:rPr>
        <w:t>Kelly and Gladys Kelly v. Experian Information Solutions, Inc. and CitiFinancial Mortgage, Inc.  Expert Report, October 2005.  Defendant CitiFinancial Mortgage, Inc. was the Client.</w:t>
      </w:r>
    </w:p>
    <w:p w:rsidR="002B04FC" w:rsidRDefault="002B04FC" w:rsidP="00767908">
      <w:pPr>
        <w:numPr>
          <w:ilvl w:val="0"/>
          <w:numId w:val="21"/>
        </w:numPr>
        <w:tabs>
          <w:tab w:val="clear" w:pos="1080"/>
          <w:tab w:val="num" w:pos="0"/>
        </w:tabs>
        <w:ind w:left="720"/>
        <w:jc w:val="both"/>
        <w:rPr>
          <w:rFonts w:ascii="Verdana" w:hAnsi="Verdana"/>
          <w:sz w:val="22"/>
          <w:u w:val="single"/>
        </w:rPr>
      </w:pPr>
      <w:r>
        <w:rPr>
          <w:rFonts w:ascii="Verdana" w:hAnsi="Verdana"/>
          <w:sz w:val="22"/>
          <w:szCs w:val="22"/>
        </w:rPr>
        <w:t xml:space="preserve">Michael </w:t>
      </w:r>
      <w:proofErr w:type="spellStart"/>
      <w:r>
        <w:rPr>
          <w:rFonts w:ascii="Verdana" w:hAnsi="Verdana"/>
          <w:sz w:val="22"/>
          <w:szCs w:val="22"/>
        </w:rPr>
        <w:t>Thiem</w:t>
      </w:r>
      <w:proofErr w:type="spellEnd"/>
      <w:r>
        <w:rPr>
          <w:rFonts w:ascii="Verdana" w:hAnsi="Verdana"/>
          <w:sz w:val="22"/>
          <w:szCs w:val="22"/>
        </w:rPr>
        <w:t>, Plaintiff v. William Jones, et al., Defendants/Third-Party Plaintiffs v. Drummond Real Estate &amp; Land Development, LLC, et al., Third-Party Defendants v. William Jones, Counter-Defendant.  Expert Report, January 2006.  Mr. Jones was the Client.</w:t>
      </w:r>
    </w:p>
    <w:p w:rsidR="002B04FC" w:rsidRDefault="002B04FC" w:rsidP="00767908">
      <w:pPr>
        <w:numPr>
          <w:ilvl w:val="0"/>
          <w:numId w:val="21"/>
        </w:numPr>
        <w:tabs>
          <w:tab w:val="clear" w:pos="1080"/>
          <w:tab w:val="num" w:pos="0"/>
        </w:tabs>
        <w:ind w:left="720"/>
        <w:jc w:val="both"/>
        <w:rPr>
          <w:rFonts w:ascii="Verdana" w:hAnsi="Verdana"/>
          <w:sz w:val="22"/>
          <w:u w:val="single"/>
        </w:rPr>
      </w:pPr>
      <w:proofErr w:type="spellStart"/>
      <w:r>
        <w:rPr>
          <w:rFonts w:ascii="Verdana" w:hAnsi="Verdana"/>
          <w:sz w:val="22"/>
          <w:szCs w:val="22"/>
        </w:rPr>
        <w:t>Tremayne</w:t>
      </w:r>
      <w:proofErr w:type="spellEnd"/>
      <w:r>
        <w:rPr>
          <w:rFonts w:ascii="Verdana" w:hAnsi="Verdana"/>
          <w:sz w:val="22"/>
        </w:rPr>
        <w:t xml:space="preserve"> Oran Richardson v. Brown’s Maryland Motors, Inc., d/b/a Toyota of Glen Burnie.  Expert Report, January 2006.  Plaintiff Richardson was the Client.</w:t>
      </w:r>
    </w:p>
    <w:p w:rsidR="002B04FC" w:rsidRDefault="002B04FC" w:rsidP="00767908">
      <w:pPr>
        <w:numPr>
          <w:ilvl w:val="0"/>
          <w:numId w:val="21"/>
        </w:numPr>
        <w:tabs>
          <w:tab w:val="clear" w:pos="1080"/>
          <w:tab w:val="num" w:pos="0"/>
        </w:tabs>
        <w:ind w:left="720"/>
        <w:jc w:val="both"/>
      </w:pPr>
      <w:proofErr w:type="spellStart"/>
      <w:r>
        <w:rPr>
          <w:rFonts w:ascii="Verdana" w:hAnsi="Verdana"/>
          <w:sz w:val="22"/>
          <w:szCs w:val="22"/>
        </w:rPr>
        <w:t>Idriis</w:t>
      </w:r>
      <w:proofErr w:type="spellEnd"/>
      <w:r>
        <w:rPr>
          <w:rFonts w:ascii="Verdana" w:hAnsi="Verdana"/>
          <w:sz w:val="22"/>
          <w:szCs w:val="22"/>
        </w:rPr>
        <w:t xml:space="preserve"> </w:t>
      </w:r>
      <w:proofErr w:type="spellStart"/>
      <w:r>
        <w:rPr>
          <w:rFonts w:ascii="Verdana" w:hAnsi="Verdana"/>
          <w:sz w:val="22"/>
          <w:szCs w:val="22"/>
        </w:rPr>
        <w:t>Bilaal</w:t>
      </w:r>
      <w:proofErr w:type="spellEnd"/>
      <w:r>
        <w:rPr>
          <w:rFonts w:ascii="Verdana" w:hAnsi="Verdana"/>
          <w:sz w:val="22"/>
          <w:szCs w:val="22"/>
        </w:rPr>
        <w:t xml:space="preserve">, et al. v. Vincent L. </w:t>
      </w:r>
      <w:proofErr w:type="spellStart"/>
      <w:r>
        <w:rPr>
          <w:rFonts w:ascii="Verdana" w:hAnsi="Verdana"/>
          <w:sz w:val="22"/>
          <w:szCs w:val="22"/>
        </w:rPr>
        <w:t>Abell</w:t>
      </w:r>
      <w:proofErr w:type="spellEnd"/>
      <w:r>
        <w:rPr>
          <w:rFonts w:ascii="Verdana" w:hAnsi="Verdana"/>
          <w:sz w:val="22"/>
          <w:szCs w:val="22"/>
        </w:rPr>
        <w:t xml:space="preserve">, et al.  Deposition appearance, February 2006.  Mr. </w:t>
      </w:r>
      <w:proofErr w:type="spellStart"/>
      <w:r>
        <w:rPr>
          <w:rFonts w:ascii="Verdana" w:hAnsi="Verdana"/>
          <w:sz w:val="22"/>
          <w:szCs w:val="22"/>
        </w:rPr>
        <w:t>Abell</w:t>
      </w:r>
      <w:proofErr w:type="spellEnd"/>
      <w:r>
        <w:rPr>
          <w:rFonts w:ascii="Verdana" w:hAnsi="Verdana"/>
          <w:sz w:val="22"/>
          <w:szCs w:val="22"/>
        </w:rPr>
        <w:t xml:space="preserve"> and related Parties/Defendants were the Clients.</w:t>
      </w:r>
    </w:p>
    <w:p w:rsidR="002B04FC" w:rsidRDefault="002B04FC" w:rsidP="00767908">
      <w:pPr>
        <w:numPr>
          <w:ilvl w:val="0"/>
          <w:numId w:val="21"/>
        </w:numPr>
        <w:tabs>
          <w:tab w:val="clear" w:pos="1080"/>
          <w:tab w:val="num" w:pos="0"/>
        </w:tabs>
        <w:ind w:left="720"/>
        <w:jc w:val="both"/>
        <w:rPr>
          <w:rFonts w:ascii="Verdana" w:hAnsi="Verdana"/>
          <w:sz w:val="22"/>
          <w:szCs w:val="22"/>
        </w:rPr>
      </w:pPr>
      <w:r>
        <w:rPr>
          <w:rFonts w:ascii="Verdana" w:hAnsi="Verdana"/>
          <w:sz w:val="22"/>
          <w:szCs w:val="22"/>
        </w:rPr>
        <w:t xml:space="preserve">Suzanne Sloane and John T. Sloane v. Equifax Information Services, LLC, Trans Union, LLC, Experian Information Solutions, Inc. and CitiFinancial, Inc.  Expert Report and Deposition appearance, April 2006.  Defendant CitiFinancial, Inc. was the Client.  </w:t>
      </w:r>
    </w:p>
    <w:p w:rsidR="002B04FC" w:rsidRDefault="002B04FC" w:rsidP="00767908">
      <w:pPr>
        <w:numPr>
          <w:ilvl w:val="0"/>
          <w:numId w:val="21"/>
        </w:numPr>
        <w:tabs>
          <w:tab w:val="clear" w:pos="1080"/>
          <w:tab w:val="num" w:pos="0"/>
        </w:tabs>
        <w:ind w:left="720"/>
        <w:jc w:val="both"/>
        <w:rPr>
          <w:rFonts w:ascii="Verdana" w:hAnsi="Verdana"/>
          <w:sz w:val="22"/>
          <w:szCs w:val="22"/>
        </w:rPr>
      </w:pPr>
      <w:r>
        <w:rPr>
          <w:rFonts w:ascii="Verdana" w:hAnsi="Verdana"/>
          <w:sz w:val="22"/>
          <w:szCs w:val="22"/>
        </w:rPr>
        <w:t xml:space="preserve">Maria-Theresa Wilson v. Vincent </w:t>
      </w:r>
      <w:proofErr w:type="spellStart"/>
      <w:r>
        <w:rPr>
          <w:rFonts w:ascii="Verdana" w:hAnsi="Verdana"/>
          <w:sz w:val="22"/>
          <w:szCs w:val="22"/>
        </w:rPr>
        <w:t>Abell</w:t>
      </w:r>
      <w:proofErr w:type="spellEnd"/>
      <w:r>
        <w:rPr>
          <w:rFonts w:ascii="Verdana" w:hAnsi="Verdana"/>
          <w:sz w:val="22"/>
          <w:szCs w:val="22"/>
        </w:rPr>
        <w:t xml:space="preserve">, et al.  Deposition appearance, April 2006.  Trial testimony, March 2007.  Defendant Vincent </w:t>
      </w:r>
      <w:proofErr w:type="spellStart"/>
      <w:r>
        <w:rPr>
          <w:rFonts w:ascii="Verdana" w:hAnsi="Verdana"/>
          <w:sz w:val="22"/>
          <w:szCs w:val="22"/>
        </w:rPr>
        <w:t>Abell</w:t>
      </w:r>
      <w:proofErr w:type="spellEnd"/>
      <w:r>
        <w:rPr>
          <w:rFonts w:ascii="Verdana" w:hAnsi="Verdana"/>
          <w:sz w:val="22"/>
          <w:szCs w:val="22"/>
        </w:rPr>
        <w:t xml:space="preserve"> was the Client.  </w:t>
      </w:r>
    </w:p>
    <w:p w:rsidR="002B04FC" w:rsidRDefault="002B04FC" w:rsidP="00767908">
      <w:pPr>
        <w:numPr>
          <w:ilvl w:val="0"/>
          <w:numId w:val="21"/>
        </w:numPr>
        <w:tabs>
          <w:tab w:val="clear" w:pos="1080"/>
          <w:tab w:val="num" w:pos="0"/>
        </w:tabs>
        <w:ind w:left="720"/>
        <w:jc w:val="both"/>
        <w:rPr>
          <w:rFonts w:ascii="Verdana" w:hAnsi="Verdana"/>
          <w:sz w:val="22"/>
          <w:szCs w:val="22"/>
        </w:rPr>
      </w:pPr>
      <w:r>
        <w:rPr>
          <w:rFonts w:ascii="Verdana" w:hAnsi="Verdana"/>
          <w:sz w:val="22"/>
          <w:szCs w:val="22"/>
        </w:rPr>
        <w:t xml:space="preserve">Diana D. Snodgrass, for Jane W. Snodgrass v. </w:t>
      </w:r>
      <w:proofErr w:type="spellStart"/>
      <w:r>
        <w:rPr>
          <w:rFonts w:ascii="Verdana" w:hAnsi="Verdana"/>
          <w:sz w:val="22"/>
          <w:szCs w:val="22"/>
        </w:rPr>
        <w:t>NationsCredit</w:t>
      </w:r>
      <w:proofErr w:type="spellEnd"/>
      <w:r>
        <w:rPr>
          <w:rFonts w:ascii="Verdana" w:hAnsi="Verdana"/>
          <w:sz w:val="22"/>
          <w:szCs w:val="22"/>
        </w:rPr>
        <w:t xml:space="preserve"> Financial Services Corporation d/b/a </w:t>
      </w:r>
      <w:proofErr w:type="spellStart"/>
      <w:r>
        <w:rPr>
          <w:rFonts w:ascii="Verdana" w:hAnsi="Verdana"/>
          <w:sz w:val="22"/>
          <w:szCs w:val="22"/>
        </w:rPr>
        <w:t>EquiCredit</w:t>
      </w:r>
      <w:proofErr w:type="spellEnd"/>
      <w:r>
        <w:rPr>
          <w:rFonts w:ascii="Verdana" w:hAnsi="Verdana"/>
          <w:sz w:val="22"/>
          <w:szCs w:val="22"/>
        </w:rPr>
        <w:t xml:space="preserve"> Corporation and Select Portfolio Servicing, Inc.  Expert Report, June 2006.  Defendant </w:t>
      </w:r>
      <w:proofErr w:type="spellStart"/>
      <w:r>
        <w:rPr>
          <w:rFonts w:ascii="Verdana" w:hAnsi="Verdana"/>
          <w:sz w:val="22"/>
          <w:szCs w:val="22"/>
        </w:rPr>
        <w:t>NationsCredit</w:t>
      </w:r>
      <w:proofErr w:type="spellEnd"/>
      <w:r>
        <w:rPr>
          <w:rFonts w:ascii="Verdana" w:hAnsi="Verdana"/>
          <w:sz w:val="22"/>
          <w:szCs w:val="22"/>
        </w:rPr>
        <w:t xml:space="preserve"> Financial Services Corporation was the Client.</w:t>
      </w:r>
    </w:p>
    <w:p w:rsidR="002B04FC" w:rsidRDefault="002B04FC" w:rsidP="00767908">
      <w:pPr>
        <w:numPr>
          <w:ilvl w:val="0"/>
          <w:numId w:val="21"/>
        </w:numPr>
        <w:tabs>
          <w:tab w:val="clear" w:pos="1080"/>
          <w:tab w:val="num" w:pos="0"/>
        </w:tabs>
        <w:ind w:left="720"/>
        <w:jc w:val="both"/>
        <w:rPr>
          <w:rFonts w:ascii="Verdana" w:hAnsi="Verdana" w:cs="Arial"/>
          <w:sz w:val="22"/>
          <w:szCs w:val="22"/>
        </w:rPr>
      </w:pPr>
      <w:r>
        <w:rPr>
          <w:rFonts w:ascii="Verdana" w:hAnsi="Verdana"/>
          <w:sz w:val="22"/>
          <w:szCs w:val="22"/>
        </w:rPr>
        <w:t>Alice Melendez v. Ford Motor Credit Company, Inc. and Crest Ford, Inc.  Affidavit, June 2006.  Ford Motor Credit Company, Inc. was the Client.</w:t>
      </w:r>
      <w:r>
        <w:rPr>
          <w:rFonts w:ascii="Verdana" w:hAnsi="Verdana" w:cs="Arial"/>
          <w:sz w:val="22"/>
          <w:szCs w:val="22"/>
        </w:rPr>
        <w:t xml:space="preserve"> </w:t>
      </w:r>
    </w:p>
    <w:p w:rsidR="002B04FC" w:rsidRDefault="002B04FC" w:rsidP="00767908">
      <w:pPr>
        <w:numPr>
          <w:ilvl w:val="0"/>
          <w:numId w:val="21"/>
        </w:numPr>
        <w:tabs>
          <w:tab w:val="clear" w:pos="1080"/>
          <w:tab w:val="num" w:pos="0"/>
        </w:tabs>
        <w:ind w:left="720"/>
        <w:jc w:val="both"/>
        <w:rPr>
          <w:rFonts w:ascii="Verdana" w:hAnsi="Verdana"/>
          <w:sz w:val="22"/>
          <w:szCs w:val="22"/>
        </w:rPr>
      </w:pPr>
      <w:r>
        <w:rPr>
          <w:rFonts w:ascii="Verdana" w:hAnsi="Verdana" w:cs="Arial"/>
          <w:sz w:val="22"/>
          <w:szCs w:val="22"/>
        </w:rPr>
        <w:t xml:space="preserve">Ralph C. Cronin and Mary Jo Cronin v. Saxon Mortgage Services, Inc. and Emmanuel Byron </w:t>
      </w:r>
      <w:proofErr w:type="spellStart"/>
      <w:r>
        <w:rPr>
          <w:rFonts w:ascii="Verdana" w:hAnsi="Verdana" w:cs="Arial"/>
          <w:sz w:val="22"/>
          <w:szCs w:val="22"/>
        </w:rPr>
        <w:t>Loucas</w:t>
      </w:r>
      <w:proofErr w:type="spellEnd"/>
      <w:r>
        <w:rPr>
          <w:rFonts w:ascii="Verdana" w:hAnsi="Verdana" w:cs="Arial"/>
          <w:sz w:val="22"/>
          <w:szCs w:val="22"/>
        </w:rPr>
        <w:t xml:space="preserve">.  Deposition appearance, June 2006.  Saxon Mortgage Services, Inc. was the Client.  </w:t>
      </w:r>
    </w:p>
    <w:p w:rsidR="002B04FC" w:rsidRDefault="002B04FC" w:rsidP="00767908">
      <w:pPr>
        <w:numPr>
          <w:ilvl w:val="0"/>
          <w:numId w:val="21"/>
        </w:numPr>
        <w:tabs>
          <w:tab w:val="clear" w:pos="1080"/>
          <w:tab w:val="num" w:pos="0"/>
        </w:tabs>
        <w:ind w:left="720"/>
        <w:jc w:val="both"/>
        <w:rPr>
          <w:rFonts w:ascii="Verdana" w:hAnsi="Verdana"/>
          <w:sz w:val="22"/>
          <w:szCs w:val="22"/>
        </w:rPr>
      </w:pPr>
      <w:r>
        <w:rPr>
          <w:rFonts w:ascii="Verdana" w:hAnsi="Verdana" w:cs="Arial"/>
          <w:sz w:val="22"/>
          <w:szCs w:val="22"/>
        </w:rPr>
        <w:t xml:space="preserve">United States of America v. Creative Financial Services, Inc., Reed N. Noble, Wayne T. </w:t>
      </w:r>
      <w:proofErr w:type="spellStart"/>
      <w:r>
        <w:rPr>
          <w:rFonts w:ascii="Verdana" w:hAnsi="Verdana" w:cs="Arial"/>
          <w:sz w:val="22"/>
          <w:szCs w:val="22"/>
        </w:rPr>
        <w:t>Sweatt</w:t>
      </w:r>
      <w:proofErr w:type="spellEnd"/>
      <w:r>
        <w:rPr>
          <w:rFonts w:ascii="Verdana" w:hAnsi="Verdana" w:cs="Arial"/>
          <w:sz w:val="22"/>
          <w:szCs w:val="22"/>
        </w:rPr>
        <w:t xml:space="preserve">, and Brent M. Naylor.  Case Analysis, August 2006.  Defendant Reed N. Noble was the Client.  </w:t>
      </w:r>
    </w:p>
    <w:p w:rsidR="002B04FC" w:rsidRDefault="002B04FC" w:rsidP="00767908">
      <w:pPr>
        <w:numPr>
          <w:ilvl w:val="0"/>
          <w:numId w:val="21"/>
        </w:numPr>
        <w:tabs>
          <w:tab w:val="clear" w:pos="1080"/>
          <w:tab w:val="num" w:pos="0"/>
        </w:tabs>
        <w:ind w:left="720"/>
        <w:jc w:val="both"/>
        <w:rPr>
          <w:rFonts w:ascii="Verdana" w:hAnsi="Verdana"/>
          <w:sz w:val="22"/>
          <w:szCs w:val="22"/>
        </w:rPr>
      </w:pPr>
      <w:r>
        <w:rPr>
          <w:rFonts w:ascii="Verdana" w:hAnsi="Verdana" w:cs="Arial"/>
          <w:sz w:val="22"/>
          <w:szCs w:val="22"/>
        </w:rPr>
        <w:t xml:space="preserve">Habib </w:t>
      </w:r>
      <w:proofErr w:type="spellStart"/>
      <w:r>
        <w:rPr>
          <w:rFonts w:ascii="Verdana" w:hAnsi="Verdana" w:cs="Arial"/>
          <w:sz w:val="22"/>
          <w:szCs w:val="22"/>
        </w:rPr>
        <w:t>Bahari</w:t>
      </w:r>
      <w:proofErr w:type="spellEnd"/>
      <w:r>
        <w:rPr>
          <w:rFonts w:ascii="Verdana" w:hAnsi="Verdana" w:cs="Arial"/>
          <w:sz w:val="22"/>
          <w:szCs w:val="22"/>
        </w:rPr>
        <w:t xml:space="preserve"> and </w:t>
      </w:r>
      <w:proofErr w:type="spellStart"/>
      <w:r>
        <w:rPr>
          <w:rFonts w:ascii="Verdana" w:hAnsi="Verdana" w:cs="Arial"/>
          <w:sz w:val="22"/>
          <w:szCs w:val="22"/>
        </w:rPr>
        <w:t>Rohangiz</w:t>
      </w:r>
      <w:proofErr w:type="spellEnd"/>
      <w:r>
        <w:rPr>
          <w:rFonts w:ascii="Verdana" w:hAnsi="Verdana" w:cs="Arial"/>
          <w:sz w:val="22"/>
          <w:szCs w:val="22"/>
        </w:rPr>
        <w:t xml:space="preserve"> </w:t>
      </w:r>
      <w:proofErr w:type="spellStart"/>
      <w:r>
        <w:rPr>
          <w:rFonts w:ascii="Verdana" w:hAnsi="Verdana" w:cs="Arial"/>
          <w:sz w:val="22"/>
          <w:szCs w:val="22"/>
        </w:rPr>
        <w:t>Forouzan</w:t>
      </w:r>
      <w:proofErr w:type="spellEnd"/>
      <w:r>
        <w:rPr>
          <w:rFonts w:ascii="Verdana" w:hAnsi="Verdana" w:cs="Arial"/>
          <w:sz w:val="22"/>
          <w:szCs w:val="22"/>
        </w:rPr>
        <w:t xml:space="preserve"> </w:t>
      </w:r>
      <w:proofErr w:type="spellStart"/>
      <w:r>
        <w:rPr>
          <w:rFonts w:ascii="Verdana" w:hAnsi="Verdana" w:cs="Arial"/>
          <w:sz w:val="22"/>
          <w:szCs w:val="22"/>
        </w:rPr>
        <w:t>Bahari</w:t>
      </w:r>
      <w:proofErr w:type="spellEnd"/>
      <w:r>
        <w:rPr>
          <w:rFonts w:ascii="Verdana" w:hAnsi="Verdana" w:cs="Arial"/>
          <w:sz w:val="22"/>
          <w:szCs w:val="22"/>
        </w:rPr>
        <w:t xml:space="preserve"> v. Countrywide Home Loans, Inc. and Litton Loan Servicing, LP.  Expert Report, July 2006.  Deposition appearance, November 2006.  Plaintiffs Habib </w:t>
      </w:r>
      <w:proofErr w:type="spellStart"/>
      <w:r>
        <w:rPr>
          <w:rFonts w:ascii="Verdana" w:hAnsi="Verdana" w:cs="Arial"/>
          <w:sz w:val="22"/>
          <w:szCs w:val="22"/>
        </w:rPr>
        <w:t>Bahari</w:t>
      </w:r>
      <w:proofErr w:type="spellEnd"/>
      <w:r>
        <w:rPr>
          <w:rFonts w:ascii="Verdana" w:hAnsi="Verdana" w:cs="Arial"/>
          <w:sz w:val="22"/>
          <w:szCs w:val="22"/>
        </w:rPr>
        <w:t xml:space="preserve"> and </w:t>
      </w:r>
      <w:proofErr w:type="spellStart"/>
      <w:r>
        <w:rPr>
          <w:rFonts w:ascii="Verdana" w:hAnsi="Verdana" w:cs="Arial"/>
          <w:sz w:val="22"/>
          <w:szCs w:val="22"/>
        </w:rPr>
        <w:t>Rohangiz</w:t>
      </w:r>
      <w:proofErr w:type="spellEnd"/>
      <w:r>
        <w:rPr>
          <w:rFonts w:ascii="Verdana" w:hAnsi="Verdana" w:cs="Arial"/>
          <w:sz w:val="22"/>
          <w:szCs w:val="22"/>
        </w:rPr>
        <w:t xml:space="preserve"> </w:t>
      </w:r>
      <w:proofErr w:type="spellStart"/>
      <w:r>
        <w:rPr>
          <w:rFonts w:ascii="Verdana" w:hAnsi="Verdana" w:cs="Arial"/>
          <w:sz w:val="22"/>
          <w:szCs w:val="22"/>
        </w:rPr>
        <w:t>Forouzan</w:t>
      </w:r>
      <w:proofErr w:type="spellEnd"/>
      <w:r>
        <w:rPr>
          <w:rFonts w:ascii="Verdana" w:hAnsi="Verdana" w:cs="Arial"/>
          <w:sz w:val="22"/>
          <w:szCs w:val="22"/>
        </w:rPr>
        <w:t xml:space="preserve"> </w:t>
      </w:r>
      <w:proofErr w:type="spellStart"/>
      <w:r>
        <w:rPr>
          <w:rFonts w:ascii="Verdana" w:hAnsi="Verdana" w:cs="Arial"/>
          <w:sz w:val="22"/>
          <w:szCs w:val="22"/>
        </w:rPr>
        <w:t>Bahari</w:t>
      </w:r>
      <w:proofErr w:type="spellEnd"/>
      <w:r>
        <w:rPr>
          <w:rFonts w:ascii="Verdana" w:hAnsi="Verdana" w:cs="Arial"/>
          <w:sz w:val="22"/>
          <w:szCs w:val="22"/>
        </w:rPr>
        <w:t xml:space="preserve"> were the Clients.  </w:t>
      </w:r>
    </w:p>
    <w:p w:rsidR="002B04FC" w:rsidRDefault="002B04FC" w:rsidP="00767908">
      <w:pPr>
        <w:numPr>
          <w:ilvl w:val="0"/>
          <w:numId w:val="21"/>
        </w:numPr>
        <w:tabs>
          <w:tab w:val="clear" w:pos="1080"/>
          <w:tab w:val="num" w:pos="0"/>
        </w:tabs>
        <w:ind w:left="720"/>
        <w:jc w:val="both"/>
        <w:rPr>
          <w:rFonts w:ascii="Verdana" w:hAnsi="Verdana"/>
          <w:sz w:val="22"/>
          <w:szCs w:val="22"/>
        </w:rPr>
      </w:pPr>
      <w:r>
        <w:rPr>
          <w:rFonts w:ascii="Verdana" w:hAnsi="Verdana"/>
          <w:sz w:val="22"/>
          <w:szCs w:val="22"/>
        </w:rPr>
        <w:t>Bradley Pauley and Mary Ellen Pauley v. Chevy Chase Bank, FSB, Allied Home Mortgage Corporation, and Dale Starr.  Expert Report, January 2007.  Defendant Chevy Chase Bank, FSB was the Client.</w:t>
      </w:r>
    </w:p>
    <w:p w:rsidR="002B04FC" w:rsidRDefault="002B04FC" w:rsidP="00767908">
      <w:pPr>
        <w:numPr>
          <w:ilvl w:val="0"/>
          <w:numId w:val="21"/>
        </w:numPr>
        <w:tabs>
          <w:tab w:val="clear" w:pos="1080"/>
          <w:tab w:val="num" w:pos="0"/>
        </w:tabs>
        <w:ind w:left="720"/>
        <w:jc w:val="both"/>
        <w:rPr>
          <w:rFonts w:ascii="Verdana" w:hAnsi="Verdana"/>
          <w:sz w:val="22"/>
        </w:rPr>
      </w:pPr>
      <w:r>
        <w:rPr>
          <w:rFonts w:ascii="Verdana" w:hAnsi="Verdana"/>
          <w:sz w:val="22"/>
          <w:szCs w:val="22"/>
        </w:rPr>
        <w:t>IndyMac Bank, FSB v. Scott L. Smith, M. Antho</w:t>
      </w:r>
      <w:r w:rsidR="00BF579D">
        <w:rPr>
          <w:rFonts w:ascii="Verdana" w:hAnsi="Verdana"/>
          <w:sz w:val="22"/>
          <w:szCs w:val="22"/>
        </w:rPr>
        <w:t xml:space="preserve">ny </w:t>
      </w:r>
      <w:proofErr w:type="spellStart"/>
      <w:r w:rsidR="00BF579D">
        <w:rPr>
          <w:rFonts w:ascii="Verdana" w:hAnsi="Verdana"/>
          <w:sz w:val="22"/>
          <w:szCs w:val="22"/>
        </w:rPr>
        <w:t>Gamarra</w:t>
      </w:r>
      <w:proofErr w:type="spellEnd"/>
      <w:r w:rsidR="00BF579D">
        <w:rPr>
          <w:rFonts w:ascii="Verdana" w:hAnsi="Verdana"/>
          <w:sz w:val="22"/>
          <w:szCs w:val="22"/>
        </w:rPr>
        <w:t xml:space="preserve"> d/b/a Sincerity Mort</w:t>
      </w:r>
      <w:r>
        <w:rPr>
          <w:rFonts w:ascii="Verdana" w:hAnsi="Verdana"/>
          <w:sz w:val="22"/>
          <w:szCs w:val="22"/>
        </w:rPr>
        <w:t xml:space="preserve">gage, Sincerity Mortgage Corporation, Bradford C. Fitch, and Michelle Guest.  Expert Report, March 2007.  Defendants Bradford C. Fitch and Michelle Guest were the Clients.  </w:t>
      </w:r>
    </w:p>
    <w:p w:rsidR="002B04FC" w:rsidRDefault="002B04FC" w:rsidP="00767908">
      <w:pPr>
        <w:numPr>
          <w:ilvl w:val="0"/>
          <w:numId w:val="21"/>
        </w:numPr>
        <w:tabs>
          <w:tab w:val="clear" w:pos="1080"/>
          <w:tab w:val="num" w:pos="0"/>
        </w:tabs>
        <w:ind w:left="720"/>
        <w:jc w:val="both"/>
        <w:rPr>
          <w:rFonts w:ascii="Verdana" w:hAnsi="Verdana"/>
          <w:sz w:val="22"/>
        </w:rPr>
      </w:pPr>
      <w:r>
        <w:rPr>
          <w:rFonts w:ascii="Verdana" w:hAnsi="Verdana"/>
          <w:sz w:val="22"/>
          <w:szCs w:val="22"/>
        </w:rPr>
        <w:t xml:space="preserve">William E. Johnson and Peter R. Lau v. Select Portfolio Servicing, Inc.  Expert Report, March 2007.  Defendant Select Portfolio Servicing, Inc. was the Client.  </w:t>
      </w:r>
    </w:p>
    <w:p w:rsidR="002B04FC" w:rsidRDefault="002B04FC" w:rsidP="00767908">
      <w:pPr>
        <w:numPr>
          <w:ilvl w:val="0"/>
          <w:numId w:val="21"/>
        </w:numPr>
        <w:tabs>
          <w:tab w:val="clear" w:pos="1080"/>
          <w:tab w:val="num" w:pos="0"/>
        </w:tabs>
        <w:ind w:left="720"/>
        <w:jc w:val="both"/>
        <w:rPr>
          <w:rFonts w:ascii="Verdana" w:hAnsi="Verdana"/>
          <w:sz w:val="22"/>
        </w:rPr>
      </w:pPr>
      <w:r>
        <w:rPr>
          <w:rFonts w:ascii="Verdana" w:hAnsi="Verdana"/>
          <w:sz w:val="22"/>
          <w:szCs w:val="22"/>
        </w:rPr>
        <w:t>Laura K. Thomas v. Branch Banking and Trust Company.  Expert Report, May 2007.  Deposition appearance, May 2007.  Defendant Branch Banking and Trust Company was the Client.</w:t>
      </w:r>
    </w:p>
    <w:p w:rsidR="002B04FC" w:rsidRDefault="002B04FC" w:rsidP="00767908">
      <w:pPr>
        <w:numPr>
          <w:ilvl w:val="0"/>
          <w:numId w:val="21"/>
        </w:numPr>
        <w:tabs>
          <w:tab w:val="clear" w:pos="1080"/>
          <w:tab w:val="num" w:pos="0"/>
        </w:tabs>
        <w:ind w:left="720"/>
        <w:jc w:val="both"/>
        <w:rPr>
          <w:rFonts w:ascii="Verdana" w:hAnsi="Verdana"/>
          <w:sz w:val="22"/>
        </w:rPr>
      </w:pPr>
      <w:r>
        <w:rPr>
          <w:rFonts w:ascii="Verdana" w:hAnsi="Verdana"/>
          <w:sz w:val="22"/>
          <w:szCs w:val="22"/>
        </w:rPr>
        <w:lastRenderedPageBreak/>
        <w:t>Raymond G. Chapman v. Chase Manhattan Mortgage Corporation.  Expert Report, May 2007.  Defendant Chase Manhattan Mortgage Corporation was the Client.</w:t>
      </w:r>
    </w:p>
    <w:p w:rsidR="002B04FC" w:rsidRDefault="002B04FC" w:rsidP="00767908">
      <w:pPr>
        <w:numPr>
          <w:ilvl w:val="0"/>
          <w:numId w:val="21"/>
        </w:numPr>
        <w:tabs>
          <w:tab w:val="clear" w:pos="1080"/>
          <w:tab w:val="num" w:pos="0"/>
        </w:tabs>
        <w:ind w:left="720"/>
        <w:jc w:val="both"/>
        <w:rPr>
          <w:rFonts w:ascii="Verdana" w:hAnsi="Verdana"/>
          <w:sz w:val="22"/>
        </w:rPr>
      </w:pPr>
      <w:r>
        <w:rPr>
          <w:rFonts w:ascii="Verdana" w:hAnsi="Verdana"/>
          <w:sz w:val="22"/>
          <w:szCs w:val="22"/>
        </w:rPr>
        <w:t xml:space="preserve">Michael C. Dillon and Jennifer </w:t>
      </w:r>
      <w:proofErr w:type="spellStart"/>
      <w:r>
        <w:rPr>
          <w:rFonts w:ascii="Verdana" w:hAnsi="Verdana"/>
          <w:sz w:val="22"/>
          <w:szCs w:val="22"/>
        </w:rPr>
        <w:t>Kresge</w:t>
      </w:r>
      <w:proofErr w:type="spellEnd"/>
      <w:r>
        <w:rPr>
          <w:rFonts w:ascii="Verdana" w:hAnsi="Verdana"/>
          <w:sz w:val="22"/>
          <w:szCs w:val="22"/>
        </w:rPr>
        <w:t xml:space="preserve"> v. Select Portfolio Servicing, Inc., Harmon Law Offices, P.C., PMI Group, Inc., Merrill Lynch Mortgage Capital, Merrill Lynch Mortgage Investors, and LaSalle Bank, N.A.  Expert Report, October 2007.  Defendant Select Portfolio Servicing, Inc. was the Client.  </w:t>
      </w:r>
    </w:p>
    <w:p w:rsidR="002B04FC" w:rsidRDefault="002B04FC" w:rsidP="00767908">
      <w:pPr>
        <w:numPr>
          <w:ilvl w:val="0"/>
          <w:numId w:val="21"/>
        </w:numPr>
        <w:tabs>
          <w:tab w:val="clear" w:pos="1080"/>
          <w:tab w:val="num" w:pos="0"/>
        </w:tabs>
        <w:ind w:left="720"/>
        <w:jc w:val="both"/>
        <w:rPr>
          <w:rFonts w:ascii="Verdana" w:hAnsi="Verdana"/>
          <w:sz w:val="22"/>
        </w:rPr>
      </w:pPr>
      <w:r>
        <w:rPr>
          <w:rFonts w:ascii="Verdana" w:hAnsi="Verdana"/>
          <w:sz w:val="22"/>
        </w:rPr>
        <w:t xml:space="preserve">Harold Hairston and Lisa Hairston v. The Provident Bank, NA and Select Portfolio Servicing, Inc.  Case Analysis, May 2008.  Defendant Select Portfolio Servicing, Inc. was the Client.  </w:t>
      </w:r>
    </w:p>
    <w:p w:rsidR="002B04FC" w:rsidRDefault="002B04FC" w:rsidP="00767908">
      <w:pPr>
        <w:numPr>
          <w:ilvl w:val="0"/>
          <w:numId w:val="21"/>
        </w:numPr>
        <w:tabs>
          <w:tab w:val="clear" w:pos="1080"/>
          <w:tab w:val="num" w:pos="0"/>
        </w:tabs>
        <w:ind w:left="720"/>
        <w:jc w:val="both"/>
        <w:rPr>
          <w:rFonts w:ascii="Verdana" w:hAnsi="Verdana"/>
          <w:sz w:val="22"/>
        </w:rPr>
      </w:pPr>
      <w:r>
        <w:rPr>
          <w:rFonts w:ascii="Verdana" w:hAnsi="Verdana"/>
          <w:sz w:val="22"/>
        </w:rPr>
        <w:t xml:space="preserve">Brian P. McLaughlin v. Pamela M. McLaughlin and Huntington National Bank.  Pamela M. McLaughlin v. </w:t>
      </w:r>
      <w:proofErr w:type="spellStart"/>
      <w:r>
        <w:rPr>
          <w:rFonts w:ascii="Verdana" w:hAnsi="Verdana"/>
          <w:sz w:val="22"/>
        </w:rPr>
        <w:t>Centra</w:t>
      </w:r>
      <w:proofErr w:type="spellEnd"/>
      <w:r>
        <w:rPr>
          <w:rFonts w:ascii="Verdana" w:hAnsi="Verdana"/>
          <w:sz w:val="22"/>
        </w:rPr>
        <w:t xml:space="preserve"> Bank, Inc., Randall Williams, Cynthia S. Barber, and Brian McLaughlin.  Case Analysis, May 2008.  Expert Report, March, 2009.  Deposition, July 2010.  Suit/Countersuit; Brian P. McLaughlin was the Client.  </w:t>
      </w:r>
    </w:p>
    <w:p w:rsidR="002B04FC" w:rsidRDefault="002B04FC" w:rsidP="00767908">
      <w:pPr>
        <w:numPr>
          <w:ilvl w:val="0"/>
          <w:numId w:val="21"/>
        </w:numPr>
        <w:tabs>
          <w:tab w:val="clear" w:pos="1080"/>
          <w:tab w:val="num" w:pos="0"/>
        </w:tabs>
        <w:ind w:left="720"/>
        <w:jc w:val="both"/>
        <w:rPr>
          <w:rFonts w:ascii="Verdana" w:hAnsi="Verdana"/>
          <w:sz w:val="22"/>
        </w:rPr>
      </w:pPr>
      <w:r>
        <w:rPr>
          <w:rFonts w:ascii="Verdana" w:hAnsi="Verdana"/>
          <w:sz w:val="22"/>
        </w:rPr>
        <w:t xml:space="preserve">Peter </w:t>
      </w:r>
      <w:proofErr w:type="spellStart"/>
      <w:r>
        <w:rPr>
          <w:rFonts w:ascii="Verdana" w:hAnsi="Verdana"/>
          <w:sz w:val="22"/>
        </w:rPr>
        <w:t>Gullo</w:t>
      </w:r>
      <w:proofErr w:type="spellEnd"/>
      <w:r>
        <w:rPr>
          <w:rFonts w:ascii="Verdana" w:hAnsi="Verdana"/>
          <w:sz w:val="22"/>
        </w:rPr>
        <w:t xml:space="preserve"> and Frances </w:t>
      </w:r>
      <w:proofErr w:type="spellStart"/>
      <w:r>
        <w:rPr>
          <w:rFonts w:ascii="Verdana" w:hAnsi="Verdana"/>
          <w:sz w:val="22"/>
        </w:rPr>
        <w:t>Gullo</w:t>
      </w:r>
      <w:proofErr w:type="spellEnd"/>
      <w:r>
        <w:rPr>
          <w:rFonts w:ascii="Verdana" w:hAnsi="Verdana"/>
          <w:sz w:val="22"/>
        </w:rPr>
        <w:t xml:space="preserve"> v. IMC Mortgage Company, Inc. and Select Portfolio Servicing, Inc.  Expert Report, July 2008.  Defendant Select Portfolio Servicing, Inc. was the Client.  </w:t>
      </w:r>
    </w:p>
    <w:p w:rsidR="002B04FC" w:rsidRDefault="002B04FC" w:rsidP="00767908">
      <w:pPr>
        <w:numPr>
          <w:ilvl w:val="0"/>
          <w:numId w:val="21"/>
        </w:numPr>
        <w:tabs>
          <w:tab w:val="clear" w:pos="1080"/>
          <w:tab w:val="num" w:pos="0"/>
        </w:tabs>
        <w:ind w:left="720"/>
        <w:jc w:val="both"/>
        <w:rPr>
          <w:rFonts w:ascii="Verdana" w:hAnsi="Verdana"/>
          <w:sz w:val="22"/>
        </w:rPr>
      </w:pPr>
      <w:r>
        <w:rPr>
          <w:rFonts w:ascii="Verdana" w:hAnsi="Verdana"/>
          <w:sz w:val="22"/>
        </w:rPr>
        <w:t xml:space="preserve">IndyMac Bank, FSB v. </w:t>
      </w:r>
      <w:proofErr w:type="spellStart"/>
      <w:r>
        <w:rPr>
          <w:rFonts w:ascii="Verdana" w:hAnsi="Verdana"/>
          <w:sz w:val="22"/>
        </w:rPr>
        <w:t>LeMarcos</w:t>
      </w:r>
      <w:proofErr w:type="spellEnd"/>
      <w:r>
        <w:rPr>
          <w:rFonts w:ascii="Verdana" w:hAnsi="Verdana"/>
          <w:sz w:val="22"/>
        </w:rPr>
        <w:t xml:space="preserve"> A. Irving, Nina Q. Irving, </w:t>
      </w:r>
      <w:proofErr w:type="spellStart"/>
      <w:r>
        <w:rPr>
          <w:rFonts w:ascii="Verdana" w:hAnsi="Verdana"/>
          <w:sz w:val="22"/>
        </w:rPr>
        <w:t>Southshore</w:t>
      </w:r>
      <w:proofErr w:type="spellEnd"/>
      <w:r>
        <w:rPr>
          <w:rFonts w:ascii="Verdana" w:hAnsi="Verdana"/>
          <w:sz w:val="22"/>
        </w:rPr>
        <w:t xml:space="preserve"> Title &amp; Escrow, Inc., Estate of Timothy F. </w:t>
      </w:r>
      <w:proofErr w:type="spellStart"/>
      <w:r>
        <w:rPr>
          <w:rFonts w:ascii="Verdana" w:hAnsi="Verdana"/>
          <w:sz w:val="22"/>
        </w:rPr>
        <w:t>Geppert</w:t>
      </w:r>
      <w:proofErr w:type="spellEnd"/>
      <w:r>
        <w:rPr>
          <w:rFonts w:ascii="Verdana" w:hAnsi="Verdana"/>
          <w:sz w:val="22"/>
        </w:rPr>
        <w:t xml:space="preserve">, </w:t>
      </w:r>
      <w:proofErr w:type="spellStart"/>
      <w:r>
        <w:rPr>
          <w:rFonts w:ascii="Verdana" w:hAnsi="Verdana"/>
          <w:sz w:val="22"/>
        </w:rPr>
        <w:t>Geppert</w:t>
      </w:r>
      <w:proofErr w:type="spellEnd"/>
      <w:r>
        <w:rPr>
          <w:rFonts w:ascii="Verdana" w:hAnsi="Verdana"/>
          <w:sz w:val="22"/>
        </w:rPr>
        <w:t xml:space="preserve"> Real Estate, Fairfax Realty, Inc., Albert Smith, Legacy Financial Corporation, Samuel Adebayo, Corporate Management Services, Inc., Alan R. Davis, William C. Harvey &amp; Associates, Inc., and Jubilee Realty and Associates, LLC.  Expert Report, September 2008.  Plaintiff IndyMac Bank, FSB was the Client.</w:t>
      </w:r>
    </w:p>
    <w:p w:rsidR="002B04FC" w:rsidRDefault="002B04FC" w:rsidP="00767908">
      <w:pPr>
        <w:numPr>
          <w:ilvl w:val="0"/>
          <w:numId w:val="21"/>
        </w:numPr>
        <w:tabs>
          <w:tab w:val="clear" w:pos="1080"/>
          <w:tab w:val="num" w:pos="0"/>
        </w:tabs>
        <w:ind w:left="720"/>
        <w:jc w:val="both"/>
        <w:rPr>
          <w:rFonts w:ascii="Verdana" w:hAnsi="Verdana"/>
          <w:sz w:val="22"/>
        </w:rPr>
      </w:pPr>
      <w:r>
        <w:rPr>
          <w:rFonts w:ascii="Verdana" w:hAnsi="Verdana"/>
          <w:sz w:val="22"/>
        </w:rPr>
        <w:t>Doris Johnson v. Merri Tabor, Amit Patel, Executive Title &amp; Escrow, LLC, Washington Mutual Bank, Pinnacle Financial Corporation, and WMC Mortgage Corporation.  Case Analysis, September 2008.  Defendant Washington Mutual Bank was the Client.</w:t>
      </w:r>
    </w:p>
    <w:p w:rsidR="002B04FC" w:rsidRDefault="002B04FC" w:rsidP="00767908">
      <w:pPr>
        <w:numPr>
          <w:ilvl w:val="0"/>
          <w:numId w:val="21"/>
        </w:numPr>
        <w:tabs>
          <w:tab w:val="clear" w:pos="1080"/>
          <w:tab w:val="num" w:pos="0"/>
        </w:tabs>
        <w:ind w:left="720"/>
        <w:jc w:val="both"/>
        <w:rPr>
          <w:rFonts w:ascii="Verdana" w:hAnsi="Verdana"/>
          <w:sz w:val="22"/>
        </w:rPr>
      </w:pPr>
      <w:r>
        <w:rPr>
          <w:rFonts w:ascii="Verdana" w:hAnsi="Verdana"/>
          <w:sz w:val="22"/>
        </w:rPr>
        <w:t xml:space="preserve">Timothy G. </w:t>
      </w:r>
      <w:proofErr w:type="spellStart"/>
      <w:r>
        <w:rPr>
          <w:rFonts w:ascii="Verdana" w:hAnsi="Verdana"/>
          <w:sz w:val="22"/>
        </w:rPr>
        <w:t>Limberger</w:t>
      </w:r>
      <w:proofErr w:type="spellEnd"/>
      <w:r>
        <w:rPr>
          <w:rFonts w:ascii="Verdana" w:hAnsi="Verdana"/>
          <w:sz w:val="22"/>
        </w:rPr>
        <w:t xml:space="preserve"> and Lisa A. </w:t>
      </w:r>
      <w:proofErr w:type="spellStart"/>
      <w:r>
        <w:rPr>
          <w:rFonts w:ascii="Verdana" w:hAnsi="Verdana"/>
          <w:sz w:val="22"/>
        </w:rPr>
        <w:t>Limberger</w:t>
      </w:r>
      <w:proofErr w:type="spellEnd"/>
      <w:r>
        <w:rPr>
          <w:rFonts w:ascii="Verdana" w:hAnsi="Verdana"/>
          <w:sz w:val="22"/>
        </w:rPr>
        <w:t xml:space="preserve"> v. Sun Trust Mortgage, Inc., et al.  Case Analysis, September 2008.  Deposition, May 2009.  Both Plaintiffs were the Clients.</w:t>
      </w:r>
    </w:p>
    <w:p w:rsidR="002B04FC" w:rsidRDefault="002B04FC" w:rsidP="00767908">
      <w:pPr>
        <w:numPr>
          <w:ilvl w:val="0"/>
          <w:numId w:val="21"/>
        </w:numPr>
        <w:tabs>
          <w:tab w:val="clear" w:pos="1080"/>
          <w:tab w:val="num" w:pos="0"/>
        </w:tabs>
        <w:ind w:left="720"/>
        <w:jc w:val="both"/>
        <w:rPr>
          <w:rFonts w:ascii="Verdana" w:hAnsi="Verdana"/>
          <w:sz w:val="22"/>
        </w:rPr>
      </w:pPr>
      <w:r>
        <w:rPr>
          <w:rFonts w:ascii="Verdana" w:hAnsi="Verdana"/>
          <w:sz w:val="22"/>
        </w:rPr>
        <w:t xml:space="preserve">Andrea Sloan, as Guardian and Conservator on behalf of Mary </w:t>
      </w:r>
      <w:proofErr w:type="spellStart"/>
      <w:r>
        <w:rPr>
          <w:rFonts w:ascii="Verdana" w:hAnsi="Verdana"/>
          <w:sz w:val="22"/>
        </w:rPr>
        <w:t>Juergens</w:t>
      </w:r>
      <w:proofErr w:type="spellEnd"/>
      <w:r>
        <w:rPr>
          <w:rFonts w:ascii="Verdana" w:hAnsi="Verdana"/>
          <w:sz w:val="22"/>
        </w:rPr>
        <w:t xml:space="preserve">, in both Mary </w:t>
      </w:r>
      <w:proofErr w:type="spellStart"/>
      <w:r>
        <w:rPr>
          <w:rFonts w:ascii="Verdana" w:hAnsi="Verdana"/>
          <w:sz w:val="22"/>
        </w:rPr>
        <w:t>Juergens</w:t>
      </w:r>
      <w:proofErr w:type="spellEnd"/>
      <w:r>
        <w:rPr>
          <w:rFonts w:ascii="Verdana" w:hAnsi="Verdana"/>
          <w:sz w:val="22"/>
        </w:rPr>
        <w:t>’ individual capacity and as the sole member of 1230 23</w:t>
      </w:r>
      <w:r>
        <w:rPr>
          <w:rFonts w:ascii="Verdana" w:hAnsi="Verdana"/>
          <w:sz w:val="22"/>
          <w:vertAlign w:val="superscript"/>
        </w:rPr>
        <w:t>rd</w:t>
      </w:r>
      <w:r>
        <w:rPr>
          <w:rFonts w:ascii="Verdana" w:hAnsi="Verdana"/>
          <w:sz w:val="22"/>
        </w:rPr>
        <w:t xml:space="preserve"> Street, LLC v. Urban Title Services, Inc., First Mount Vernon Industrial Loan Association, Inc., Dale E. Duncan, Arthur G. Bennett, and </w:t>
      </w:r>
      <w:proofErr w:type="spellStart"/>
      <w:r>
        <w:rPr>
          <w:rFonts w:ascii="Verdana" w:hAnsi="Verdana"/>
          <w:sz w:val="22"/>
        </w:rPr>
        <w:t>Brickshire</w:t>
      </w:r>
      <w:proofErr w:type="spellEnd"/>
      <w:r>
        <w:rPr>
          <w:rFonts w:ascii="Verdana" w:hAnsi="Verdana"/>
          <w:sz w:val="22"/>
        </w:rPr>
        <w:t xml:space="preserve"> Settlements, LLC.  Expert Report, November 2008.  Deposition, December 2008.  Defendants First Mount Vernon Industrial Loan Association, Inc. and Arthur G. Bennett were the Clients.  </w:t>
      </w:r>
    </w:p>
    <w:p w:rsidR="002B04FC" w:rsidRDefault="002B04FC" w:rsidP="00767908">
      <w:pPr>
        <w:numPr>
          <w:ilvl w:val="0"/>
          <w:numId w:val="21"/>
        </w:numPr>
        <w:tabs>
          <w:tab w:val="clear" w:pos="1080"/>
          <w:tab w:val="num" w:pos="0"/>
        </w:tabs>
        <w:ind w:left="720"/>
        <w:jc w:val="both"/>
        <w:rPr>
          <w:rFonts w:ascii="Verdana" w:hAnsi="Verdana"/>
          <w:sz w:val="22"/>
          <w:u w:val="single"/>
        </w:rPr>
      </w:pPr>
      <w:r>
        <w:rPr>
          <w:rFonts w:ascii="Verdana" w:hAnsi="Verdana"/>
          <w:sz w:val="22"/>
        </w:rPr>
        <w:t xml:space="preserve">The </w:t>
      </w:r>
      <w:r>
        <w:rPr>
          <w:rFonts w:ascii="Verdana" w:hAnsi="Verdana"/>
          <w:sz w:val="22"/>
          <w:szCs w:val="22"/>
        </w:rPr>
        <w:t xml:space="preserve">Bank of New York, as Trustee for the Holders of the EQCC Asset Backed Certificates, Series 2001-2, Plaintiff v. Paulette Williams and Mercury Finance Company of Florida, a Dissolved Corporation.  Defendant/Counter-Plaintiff v. The Bank of New York, as Trustee for the Holders of the EQCC Asset Backed Certificates, Series 2001-2 and </w:t>
      </w:r>
      <w:proofErr w:type="spellStart"/>
      <w:r>
        <w:rPr>
          <w:rFonts w:ascii="Verdana" w:hAnsi="Verdana"/>
          <w:sz w:val="22"/>
          <w:szCs w:val="22"/>
        </w:rPr>
        <w:t>Echevarria</w:t>
      </w:r>
      <w:proofErr w:type="spellEnd"/>
      <w:r>
        <w:rPr>
          <w:rFonts w:ascii="Verdana" w:hAnsi="Verdana"/>
          <w:sz w:val="22"/>
          <w:szCs w:val="22"/>
        </w:rPr>
        <w:t xml:space="preserve"> &amp; Associates, PA.  Expert Report, December 2008.  The Bank of New York was the Client.</w:t>
      </w:r>
    </w:p>
    <w:p w:rsidR="002B04FC" w:rsidRDefault="002B04FC" w:rsidP="00767908">
      <w:pPr>
        <w:numPr>
          <w:ilvl w:val="0"/>
          <w:numId w:val="21"/>
        </w:numPr>
        <w:tabs>
          <w:tab w:val="clear" w:pos="1080"/>
          <w:tab w:val="num" w:pos="0"/>
        </w:tabs>
        <w:ind w:left="720"/>
        <w:jc w:val="both"/>
        <w:rPr>
          <w:rFonts w:ascii="Verdana" w:hAnsi="Verdana"/>
          <w:sz w:val="22"/>
          <w:u w:val="single"/>
        </w:rPr>
      </w:pPr>
      <w:r w:rsidRPr="00746131">
        <w:rPr>
          <w:rFonts w:ascii="Verdana" w:hAnsi="Verdana"/>
          <w:sz w:val="22"/>
          <w:szCs w:val="22"/>
        </w:rPr>
        <w:t>Dean B. Green and Patricia A. Green v. Bank of America,</w:t>
      </w:r>
      <w:r>
        <w:rPr>
          <w:rFonts w:ascii="Verdana" w:hAnsi="Verdana"/>
          <w:sz w:val="22"/>
          <w:szCs w:val="22"/>
        </w:rPr>
        <w:t xml:space="preserve"> successor to </w:t>
      </w:r>
      <w:proofErr w:type="spellStart"/>
      <w:r>
        <w:rPr>
          <w:rFonts w:ascii="Verdana" w:hAnsi="Verdana"/>
          <w:sz w:val="22"/>
          <w:szCs w:val="22"/>
        </w:rPr>
        <w:t>EquiCredit</w:t>
      </w:r>
      <w:proofErr w:type="spellEnd"/>
      <w:r>
        <w:rPr>
          <w:rFonts w:ascii="Verdana" w:hAnsi="Verdana"/>
          <w:sz w:val="22"/>
          <w:szCs w:val="22"/>
        </w:rPr>
        <w:t xml:space="preserve"> Corp., </w:t>
      </w:r>
      <w:proofErr w:type="spellStart"/>
      <w:r>
        <w:rPr>
          <w:rFonts w:ascii="Verdana" w:hAnsi="Verdana"/>
          <w:sz w:val="22"/>
          <w:szCs w:val="22"/>
        </w:rPr>
        <w:t>EquiCredit</w:t>
      </w:r>
      <w:proofErr w:type="spellEnd"/>
      <w:r>
        <w:rPr>
          <w:rFonts w:ascii="Verdana" w:hAnsi="Verdana"/>
          <w:sz w:val="22"/>
          <w:szCs w:val="22"/>
        </w:rPr>
        <w:t xml:space="preserve"> Corporation of West Virginia, and Decision One Mortgage Company, LLC.  Expert Report, June 2009.  Defendants Bank of America and </w:t>
      </w:r>
      <w:proofErr w:type="spellStart"/>
      <w:r>
        <w:rPr>
          <w:rFonts w:ascii="Verdana" w:hAnsi="Verdana"/>
          <w:sz w:val="22"/>
          <w:szCs w:val="22"/>
        </w:rPr>
        <w:t>EquiCredit</w:t>
      </w:r>
      <w:proofErr w:type="spellEnd"/>
      <w:r>
        <w:rPr>
          <w:rFonts w:ascii="Verdana" w:hAnsi="Verdana"/>
          <w:sz w:val="22"/>
          <w:szCs w:val="22"/>
        </w:rPr>
        <w:t xml:space="preserve"> Corporation of West Virginia were the Clients.</w:t>
      </w:r>
    </w:p>
    <w:p w:rsidR="002B04FC" w:rsidRDefault="002B04FC" w:rsidP="00767908">
      <w:pPr>
        <w:numPr>
          <w:ilvl w:val="0"/>
          <w:numId w:val="21"/>
        </w:numPr>
        <w:tabs>
          <w:tab w:val="clear" w:pos="1080"/>
          <w:tab w:val="num" w:pos="0"/>
        </w:tabs>
        <w:ind w:left="720"/>
        <w:jc w:val="both"/>
        <w:rPr>
          <w:rFonts w:ascii="Verdana" w:hAnsi="Verdana"/>
          <w:sz w:val="22"/>
          <w:szCs w:val="22"/>
        </w:rPr>
      </w:pPr>
      <w:r>
        <w:rPr>
          <w:rFonts w:ascii="Verdana" w:hAnsi="Verdana"/>
          <w:sz w:val="22"/>
          <w:szCs w:val="22"/>
        </w:rPr>
        <w:lastRenderedPageBreak/>
        <w:t>Severn Savings Bank, FSB v. Nationwide Life Insurance Company, et al.  Case Analysis, June 2009.  Plaintiff Severn Savings Bank, FSB was the Client.</w:t>
      </w:r>
    </w:p>
    <w:p w:rsidR="002B04FC" w:rsidRDefault="002B04FC" w:rsidP="00767908">
      <w:pPr>
        <w:numPr>
          <w:ilvl w:val="0"/>
          <w:numId w:val="21"/>
        </w:numPr>
        <w:tabs>
          <w:tab w:val="clear" w:pos="1080"/>
          <w:tab w:val="num" w:pos="0"/>
        </w:tabs>
        <w:ind w:left="720"/>
        <w:jc w:val="both"/>
        <w:rPr>
          <w:rFonts w:ascii="Verdana" w:hAnsi="Verdana"/>
          <w:sz w:val="22"/>
          <w:u w:val="single"/>
        </w:rPr>
      </w:pPr>
      <w:r>
        <w:rPr>
          <w:rFonts w:ascii="Verdana" w:hAnsi="Verdana"/>
          <w:sz w:val="22"/>
          <w:szCs w:val="22"/>
        </w:rPr>
        <w:t xml:space="preserve">Wells Fargo Dealer Services, Inc. v. Chesapeake Financial Services, Inc., Phillip Colonna, Steven Melt, Jack Doe, Atlantic Boat Documentation, Inc., and John Doe.  Case Analysis, September 2009.  Expert Report, December 2010.  Deposition Appearance, February 2011.  Plaintiff Wells Fargo Dealer Services, Inc. was the Client.  </w:t>
      </w:r>
    </w:p>
    <w:p w:rsidR="002B04FC" w:rsidRDefault="002B04FC" w:rsidP="00767908">
      <w:pPr>
        <w:numPr>
          <w:ilvl w:val="0"/>
          <w:numId w:val="21"/>
        </w:numPr>
        <w:tabs>
          <w:tab w:val="clear" w:pos="1080"/>
          <w:tab w:val="num" w:pos="0"/>
        </w:tabs>
        <w:ind w:left="720"/>
        <w:jc w:val="both"/>
        <w:rPr>
          <w:rFonts w:ascii="Verdana" w:hAnsi="Verdana"/>
          <w:sz w:val="22"/>
          <w:u w:val="single"/>
        </w:rPr>
      </w:pPr>
      <w:r>
        <w:rPr>
          <w:rFonts w:ascii="Verdana" w:hAnsi="Verdana"/>
          <w:sz w:val="22"/>
          <w:szCs w:val="22"/>
        </w:rPr>
        <w:t xml:space="preserve">U. S. Bank, N.A., as Trustee for CSAB Mortgage-backed Pass-Through Certificate Series 2006-1, Plaintiff v. Alyssa </w:t>
      </w:r>
      <w:proofErr w:type="spellStart"/>
      <w:r>
        <w:rPr>
          <w:rFonts w:ascii="Verdana" w:hAnsi="Verdana"/>
          <w:sz w:val="22"/>
          <w:szCs w:val="22"/>
        </w:rPr>
        <w:t>Azran</w:t>
      </w:r>
      <w:proofErr w:type="spellEnd"/>
      <w:r>
        <w:rPr>
          <w:rFonts w:ascii="Verdana" w:hAnsi="Verdana"/>
          <w:sz w:val="22"/>
          <w:szCs w:val="22"/>
        </w:rPr>
        <w:t xml:space="preserve">, Mr. </w:t>
      </w:r>
      <w:proofErr w:type="spellStart"/>
      <w:r>
        <w:rPr>
          <w:rFonts w:ascii="Verdana" w:hAnsi="Verdana"/>
          <w:sz w:val="22"/>
          <w:szCs w:val="22"/>
        </w:rPr>
        <w:t>Azran</w:t>
      </w:r>
      <w:proofErr w:type="spellEnd"/>
      <w:r>
        <w:rPr>
          <w:rFonts w:ascii="Verdana" w:hAnsi="Verdana"/>
          <w:sz w:val="22"/>
          <w:szCs w:val="22"/>
        </w:rPr>
        <w:t xml:space="preserve">, Husband of Alyssa </w:t>
      </w:r>
      <w:proofErr w:type="spellStart"/>
      <w:r>
        <w:rPr>
          <w:rFonts w:ascii="Verdana" w:hAnsi="Verdana"/>
          <w:sz w:val="22"/>
          <w:szCs w:val="22"/>
        </w:rPr>
        <w:t>Azran</w:t>
      </w:r>
      <w:proofErr w:type="spellEnd"/>
      <w:r>
        <w:rPr>
          <w:rFonts w:ascii="Verdana" w:hAnsi="Verdana"/>
          <w:sz w:val="22"/>
          <w:szCs w:val="22"/>
        </w:rPr>
        <w:t xml:space="preserve">, and Mortgage Electronic Registration Systems, Inc. as a Nominee for Credit Suisse Financial Corporation, Defendants and William and Daphne Webb, Defendant Intervenors.  William and Daphne Webb, Counter-claimants v. U. S. Bank, N.A., as Trustee for CSAB Mortgage-backed Pass-Through Certificate Series 2006-1, Counter-Defendants.  William and Daphne Webb, Third-Party Plaintiffs v. Real Estate International, Ltd., Ronald B. </w:t>
      </w:r>
      <w:proofErr w:type="spellStart"/>
      <w:r>
        <w:rPr>
          <w:rFonts w:ascii="Verdana" w:hAnsi="Verdana"/>
          <w:sz w:val="22"/>
          <w:szCs w:val="22"/>
        </w:rPr>
        <w:t>Losner</w:t>
      </w:r>
      <w:proofErr w:type="spellEnd"/>
      <w:r>
        <w:rPr>
          <w:rFonts w:ascii="Verdana" w:hAnsi="Verdana"/>
          <w:sz w:val="22"/>
          <w:szCs w:val="22"/>
        </w:rPr>
        <w:t xml:space="preserve">, Alyssa </w:t>
      </w:r>
      <w:proofErr w:type="spellStart"/>
      <w:r>
        <w:rPr>
          <w:rFonts w:ascii="Verdana" w:hAnsi="Verdana"/>
          <w:sz w:val="22"/>
          <w:szCs w:val="22"/>
        </w:rPr>
        <w:t>Azran</w:t>
      </w:r>
      <w:proofErr w:type="spellEnd"/>
      <w:r>
        <w:rPr>
          <w:rFonts w:ascii="Verdana" w:hAnsi="Verdana"/>
          <w:sz w:val="22"/>
          <w:szCs w:val="22"/>
        </w:rPr>
        <w:t xml:space="preserve">, ANM Funding, LLC, </w:t>
      </w:r>
      <w:proofErr w:type="spellStart"/>
      <w:r>
        <w:rPr>
          <w:rFonts w:ascii="Verdana" w:hAnsi="Verdana"/>
          <w:sz w:val="22"/>
          <w:szCs w:val="22"/>
        </w:rPr>
        <w:t>Tovia</w:t>
      </w:r>
      <w:proofErr w:type="spellEnd"/>
      <w:r>
        <w:rPr>
          <w:rFonts w:ascii="Verdana" w:hAnsi="Verdana"/>
          <w:sz w:val="22"/>
          <w:szCs w:val="22"/>
        </w:rPr>
        <w:t xml:space="preserve"> Frankl, Credit Suisse Financial Corporation, Dryden Abstract, Inc., and Real Valuation, LLC., Third-Party Defendants.  Case Analysis, October 2009.  Credit Suisse Financial Corporation was the Client.  </w:t>
      </w:r>
    </w:p>
    <w:p w:rsidR="002B04FC" w:rsidRDefault="002B04FC" w:rsidP="00767908">
      <w:pPr>
        <w:numPr>
          <w:ilvl w:val="0"/>
          <w:numId w:val="21"/>
        </w:numPr>
        <w:tabs>
          <w:tab w:val="clear" w:pos="1080"/>
          <w:tab w:val="num" w:pos="0"/>
        </w:tabs>
        <w:ind w:left="720"/>
        <w:jc w:val="both"/>
        <w:rPr>
          <w:rFonts w:ascii="Verdana" w:hAnsi="Verdana"/>
          <w:sz w:val="22"/>
          <w:u w:val="single"/>
        </w:rPr>
      </w:pPr>
      <w:r w:rsidRPr="00746131">
        <w:rPr>
          <w:rFonts w:ascii="Verdana" w:hAnsi="Verdana"/>
          <w:sz w:val="22"/>
          <w:szCs w:val="22"/>
        </w:rPr>
        <w:t xml:space="preserve">Harold Smith and </w:t>
      </w:r>
      <w:proofErr w:type="spellStart"/>
      <w:r w:rsidRPr="00746131">
        <w:rPr>
          <w:rFonts w:ascii="Verdana" w:hAnsi="Verdana"/>
          <w:sz w:val="22"/>
          <w:szCs w:val="22"/>
        </w:rPr>
        <w:t>Causetta</w:t>
      </w:r>
      <w:proofErr w:type="spellEnd"/>
      <w:r w:rsidRPr="00746131">
        <w:rPr>
          <w:rFonts w:ascii="Verdana" w:hAnsi="Verdana"/>
          <w:sz w:val="22"/>
          <w:szCs w:val="22"/>
        </w:rPr>
        <w:t xml:space="preserve"> Smith v. Countrywide Home Loans, Inc., Hometown Real Estate,</w:t>
      </w:r>
      <w:r>
        <w:rPr>
          <w:rFonts w:ascii="Verdana" w:hAnsi="Verdana"/>
          <w:sz w:val="22"/>
          <w:szCs w:val="22"/>
        </w:rPr>
        <w:t xml:space="preserve"> Inc. Coral Neal, Lender’s Service, Inc. and Bank of New York.  Case Analysis, January 2010.  Defendant Countrywide Home Loans, Inc. was the Client.  </w:t>
      </w:r>
    </w:p>
    <w:p w:rsidR="002B04FC" w:rsidRDefault="002B04FC" w:rsidP="00767908">
      <w:pPr>
        <w:numPr>
          <w:ilvl w:val="0"/>
          <w:numId w:val="21"/>
        </w:numPr>
        <w:tabs>
          <w:tab w:val="clear" w:pos="1080"/>
          <w:tab w:val="num" w:pos="0"/>
        </w:tabs>
        <w:ind w:left="720"/>
        <w:jc w:val="both"/>
        <w:rPr>
          <w:rFonts w:ascii="Verdana" w:hAnsi="Verdana"/>
          <w:sz w:val="22"/>
          <w:u w:val="single"/>
        </w:rPr>
      </w:pPr>
      <w:r w:rsidRPr="00746131">
        <w:rPr>
          <w:rFonts w:ascii="Verdana" w:hAnsi="Verdana"/>
          <w:sz w:val="22"/>
          <w:szCs w:val="22"/>
        </w:rPr>
        <w:t>Michael G. Harris and Ann Harris v. Countrywide Bank, NA, Bank of America, NA,</w:t>
      </w:r>
      <w:r w:rsidRPr="00C57EC0">
        <w:rPr>
          <w:rFonts w:ascii="Verdana" w:hAnsi="Verdana"/>
          <w:b/>
          <w:sz w:val="22"/>
          <w:szCs w:val="22"/>
        </w:rPr>
        <w:t xml:space="preserve"> </w:t>
      </w:r>
      <w:r>
        <w:rPr>
          <w:rFonts w:ascii="Verdana" w:hAnsi="Verdana"/>
          <w:sz w:val="22"/>
          <w:szCs w:val="22"/>
        </w:rPr>
        <w:t xml:space="preserve">D. J. </w:t>
      </w:r>
      <w:proofErr w:type="spellStart"/>
      <w:r>
        <w:rPr>
          <w:rFonts w:ascii="Verdana" w:hAnsi="Verdana"/>
          <w:sz w:val="22"/>
          <w:szCs w:val="22"/>
        </w:rPr>
        <w:t>Harda</w:t>
      </w:r>
      <w:proofErr w:type="spellEnd"/>
      <w:r>
        <w:rPr>
          <w:rFonts w:ascii="Verdana" w:hAnsi="Verdana"/>
          <w:sz w:val="22"/>
          <w:szCs w:val="22"/>
        </w:rPr>
        <w:t xml:space="preserve"> Corporation, Great American Title, Inc. and Delmar L. Barrett.  Case Analysis, January 2010.  Defendants Countrywide Bank and Bank of America were the Clients.</w:t>
      </w:r>
    </w:p>
    <w:p w:rsidR="002B04FC" w:rsidRDefault="002B04FC" w:rsidP="00767908">
      <w:pPr>
        <w:numPr>
          <w:ilvl w:val="0"/>
          <w:numId w:val="21"/>
        </w:numPr>
        <w:tabs>
          <w:tab w:val="clear" w:pos="1080"/>
          <w:tab w:val="num" w:pos="0"/>
        </w:tabs>
        <w:ind w:left="720"/>
        <w:jc w:val="both"/>
        <w:rPr>
          <w:rFonts w:ascii="Verdana" w:hAnsi="Verdana"/>
          <w:sz w:val="22"/>
          <w:u w:val="single"/>
        </w:rPr>
      </w:pPr>
      <w:r>
        <w:rPr>
          <w:rFonts w:ascii="Verdana" w:hAnsi="Verdana"/>
          <w:sz w:val="22"/>
          <w:szCs w:val="22"/>
        </w:rPr>
        <w:t xml:space="preserve">IndyMac Bank, FSB, as successor-in-interest to IndyMac, Inc. vs. </w:t>
      </w:r>
      <w:proofErr w:type="spellStart"/>
      <w:r>
        <w:rPr>
          <w:rFonts w:ascii="Verdana" w:hAnsi="Verdana"/>
          <w:sz w:val="22"/>
          <w:szCs w:val="22"/>
        </w:rPr>
        <w:t>Mirwais</w:t>
      </w:r>
      <w:proofErr w:type="spellEnd"/>
      <w:r>
        <w:rPr>
          <w:rFonts w:ascii="Verdana" w:hAnsi="Verdana"/>
          <w:sz w:val="22"/>
          <w:szCs w:val="22"/>
        </w:rPr>
        <w:t xml:space="preserve"> </w:t>
      </w:r>
      <w:proofErr w:type="spellStart"/>
      <w:r>
        <w:rPr>
          <w:rFonts w:ascii="Verdana" w:hAnsi="Verdana"/>
          <w:sz w:val="22"/>
          <w:szCs w:val="22"/>
        </w:rPr>
        <w:t>Azadzoy</w:t>
      </w:r>
      <w:proofErr w:type="spellEnd"/>
      <w:r>
        <w:rPr>
          <w:rFonts w:ascii="Verdana" w:hAnsi="Verdana"/>
          <w:sz w:val="22"/>
          <w:szCs w:val="22"/>
        </w:rPr>
        <w:t xml:space="preserve">, an individual; </w:t>
      </w:r>
      <w:proofErr w:type="spellStart"/>
      <w:r>
        <w:rPr>
          <w:rFonts w:ascii="Verdana" w:hAnsi="Verdana"/>
          <w:sz w:val="22"/>
          <w:szCs w:val="22"/>
        </w:rPr>
        <w:t>Mirwais</w:t>
      </w:r>
      <w:proofErr w:type="spellEnd"/>
      <w:r>
        <w:rPr>
          <w:rFonts w:ascii="Verdana" w:hAnsi="Verdana"/>
          <w:sz w:val="22"/>
          <w:szCs w:val="22"/>
        </w:rPr>
        <w:t xml:space="preserve"> </w:t>
      </w:r>
      <w:proofErr w:type="spellStart"/>
      <w:r>
        <w:rPr>
          <w:rFonts w:ascii="Verdana" w:hAnsi="Verdana"/>
          <w:sz w:val="22"/>
          <w:szCs w:val="22"/>
        </w:rPr>
        <w:t>Azadzoy</w:t>
      </w:r>
      <w:proofErr w:type="spellEnd"/>
      <w:r>
        <w:rPr>
          <w:rFonts w:ascii="Verdana" w:hAnsi="Verdana"/>
          <w:sz w:val="22"/>
          <w:szCs w:val="22"/>
        </w:rPr>
        <w:t xml:space="preserve">, d.b.a. Investors Realty &amp; Mortgage; Investors Realty &amp; Mortgage; </w:t>
      </w:r>
      <w:proofErr w:type="spellStart"/>
      <w:r>
        <w:rPr>
          <w:rFonts w:ascii="Verdana" w:hAnsi="Verdana"/>
          <w:sz w:val="22"/>
          <w:szCs w:val="22"/>
        </w:rPr>
        <w:t>Zarmina</w:t>
      </w:r>
      <w:proofErr w:type="spellEnd"/>
      <w:r>
        <w:rPr>
          <w:rFonts w:ascii="Verdana" w:hAnsi="Verdana"/>
          <w:sz w:val="22"/>
          <w:szCs w:val="22"/>
        </w:rPr>
        <w:t xml:space="preserve"> </w:t>
      </w:r>
      <w:proofErr w:type="spellStart"/>
      <w:r>
        <w:rPr>
          <w:rFonts w:ascii="Verdana" w:hAnsi="Verdana"/>
          <w:sz w:val="22"/>
          <w:szCs w:val="22"/>
        </w:rPr>
        <w:t>Azadzoy</w:t>
      </w:r>
      <w:proofErr w:type="spellEnd"/>
      <w:r>
        <w:rPr>
          <w:rFonts w:ascii="Verdana" w:hAnsi="Verdana"/>
          <w:sz w:val="22"/>
          <w:szCs w:val="22"/>
        </w:rPr>
        <w:t xml:space="preserve">, an individual; </w:t>
      </w:r>
      <w:proofErr w:type="spellStart"/>
      <w:r>
        <w:rPr>
          <w:rFonts w:ascii="Verdana" w:hAnsi="Verdana"/>
          <w:sz w:val="22"/>
          <w:szCs w:val="22"/>
        </w:rPr>
        <w:t>Wasil</w:t>
      </w:r>
      <w:proofErr w:type="spellEnd"/>
      <w:r>
        <w:rPr>
          <w:rFonts w:ascii="Verdana" w:hAnsi="Verdana"/>
          <w:sz w:val="22"/>
          <w:szCs w:val="22"/>
        </w:rPr>
        <w:t xml:space="preserve"> A. </w:t>
      </w:r>
      <w:proofErr w:type="spellStart"/>
      <w:r>
        <w:rPr>
          <w:rFonts w:ascii="Verdana" w:hAnsi="Verdana"/>
          <w:sz w:val="22"/>
          <w:szCs w:val="22"/>
        </w:rPr>
        <w:t>Gudus</w:t>
      </w:r>
      <w:proofErr w:type="spellEnd"/>
      <w:r>
        <w:rPr>
          <w:rFonts w:ascii="Verdana" w:hAnsi="Verdana"/>
          <w:sz w:val="22"/>
          <w:szCs w:val="22"/>
        </w:rPr>
        <w:t>, an individual; Does 1 through 100, inclusive.  Case Analysis, January 2010.  Plaintiff IndyMac Bank, FSB was the Client.</w:t>
      </w:r>
    </w:p>
    <w:p w:rsidR="002B04FC" w:rsidRDefault="002B04FC" w:rsidP="00767908">
      <w:pPr>
        <w:numPr>
          <w:ilvl w:val="0"/>
          <w:numId w:val="21"/>
        </w:numPr>
        <w:tabs>
          <w:tab w:val="clear" w:pos="1080"/>
          <w:tab w:val="num" w:pos="0"/>
        </w:tabs>
        <w:ind w:left="720"/>
        <w:jc w:val="both"/>
        <w:rPr>
          <w:rFonts w:ascii="Verdana" w:hAnsi="Verdana"/>
          <w:sz w:val="22"/>
          <w:u w:val="single"/>
        </w:rPr>
      </w:pPr>
      <w:r w:rsidRPr="00746131">
        <w:rPr>
          <w:rFonts w:ascii="Verdana" w:hAnsi="Verdana"/>
          <w:sz w:val="22"/>
          <w:szCs w:val="22"/>
        </w:rPr>
        <w:t>Teresa Harvey and Brad J. Anderson v. FIA Card Services, NA.</w:t>
      </w:r>
      <w:r>
        <w:rPr>
          <w:rFonts w:ascii="Verdana" w:hAnsi="Verdana"/>
          <w:sz w:val="22"/>
          <w:szCs w:val="22"/>
        </w:rPr>
        <w:t xml:space="preserve">  Case Analysis, February 2010.  Defendant FIA Card Services, NA was the Client.</w:t>
      </w:r>
    </w:p>
    <w:p w:rsidR="002B04FC" w:rsidRDefault="002B04FC" w:rsidP="00767908">
      <w:pPr>
        <w:numPr>
          <w:ilvl w:val="0"/>
          <w:numId w:val="21"/>
        </w:numPr>
        <w:tabs>
          <w:tab w:val="clear" w:pos="1080"/>
          <w:tab w:val="num" w:pos="0"/>
        </w:tabs>
        <w:ind w:left="720"/>
        <w:jc w:val="both"/>
        <w:rPr>
          <w:rFonts w:ascii="Verdana" w:hAnsi="Verdana"/>
          <w:sz w:val="22"/>
          <w:u w:val="single"/>
        </w:rPr>
      </w:pPr>
      <w:r w:rsidRPr="00746131">
        <w:rPr>
          <w:rFonts w:ascii="Verdana" w:hAnsi="Verdana" w:cs="Arial"/>
          <w:color w:val="000000"/>
          <w:sz w:val="22"/>
          <w:szCs w:val="22"/>
        </w:rPr>
        <w:t>Aaron Curry v. Countrywide Home Loans Servicing LP, Bank of America, N.A.,</w:t>
      </w:r>
      <w:r>
        <w:rPr>
          <w:rFonts w:ascii="Verdana" w:hAnsi="Verdana" w:cs="Arial"/>
          <w:color w:val="000000"/>
          <w:sz w:val="22"/>
          <w:szCs w:val="22"/>
        </w:rPr>
        <w:t xml:space="preserve"> and John Doe Holder.  Case Analysis, February 2010.  Defendants Countrywide Home Loans Servicing LP and Bank of America, N.A. were the Clients.</w:t>
      </w:r>
    </w:p>
    <w:p w:rsidR="002B04FC" w:rsidRDefault="002B04FC" w:rsidP="00767908">
      <w:pPr>
        <w:numPr>
          <w:ilvl w:val="0"/>
          <w:numId w:val="21"/>
        </w:numPr>
        <w:tabs>
          <w:tab w:val="clear" w:pos="1080"/>
          <w:tab w:val="num" w:pos="0"/>
        </w:tabs>
        <w:ind w:left="720"/>
        <w:jc w:val="both"/>
        <w:rPr>
          <w:rFonts w:ascii="Verdana" w:hAnsi="Verdana" w:cs="Arial"/>
          <w:color w:val="000000"/>
          <w:sz w:val="22"/>
          <w:szCs w:val="22"/>
        </w:rPr>
      </w:pPr>
      <w:proofErr w:type="spellStart"/>
      <w:r>
        <w:rPr>
          <w:rFonts w:ascii="Verdana" w:hAnsi="Verdana" w:cs="Arial"/>
          <w:color w:val="000000"/>
          <w:sz w:val="22"/>
          <w:szCs w:val="22"/>
        </w:rPr>
        <w:t>Rexyall</w:t>
      </w:r>
      <w:proofErr w:type="spellEnd"/>
      <w:r>
        <w:rPr>
          <w:rFonts w:ascii="Verdana" w:hAnsi="Verdana" w:cs="Arial"/>
          <w:color w:val="000000"/>
          <w:sz w:val="22"/>
          <w:szCs w:val="22"/>
        </w:rPr>
        <w:t xml:space="preserve"> Wade and Deanna Wade, Plaintiffs v. Homecomings Financial Network, Inc., Residential Funding Corporation, and JP Morgan Chase Bank, Defendants/ Third-Party Plaintiffs v. HSBC Mortgage Services, Inc., as successor in interest to Decision One Mortgage Company, LLC.  Case Analysis, February 2010.  HSBC Mortgage Services, Inc. was the Client.</w:t>
      </w:r>
    </w:p>
    <w:p w:rsidR="002B04FC" w:rsidRDefault="002B04FC" w:rsidP="002B04FC">
      <w:pPr>
        <w:numPr>
          <w:ilvl w:val="0"/>
          <w:numId w:val="21"/>
        </w:numPr>
        <w:tabs>
          <w:tab w:val="clear" w:pos="1080"/>
          <w:tab w:val="left" w:pos="360"/>
        </w:tabs>
        <w:ind w:left="720"/>
        <w:jc w:val="both"/>
        <w:rPr>
          <w:rFonts w:ascii="Verdana" w:hAnsi="Verdana"/>
          <w:sz w:val="22"/>
          <w:szCs w:val="22"/>
        </w:rPr>
      </w:pPr>
      <w:r w:rsidRPr="00746131">
        <w:rPr>
          <w:rFonts w:ascii="Verdana" w:hAnsi="Verdana"/>
          <w:sz w:val="22"/>
          <w:szCs w:val="22"/>
        </w:rPr>
        <w:t>Nancy Jane Jarrell v. Countrywide Home Loans Servicing, LP,</w:t>
      </w:r>
      <w:r>
        <w:rPr>
          <w:rFonts w:ascii="Verdana" w:hAnsi="Verdana"/>
          <w:sz w:val="22"/>
          <w:szCs w:val="22"/>
        </w:rPr>
        <w:t xml:space="preserve"> as Servicer for Countrywide Bank, NA (Bank of America), Defendant.  Deposition, March 2010.  Client was the Defendant Countrywide Home Loans Servicing, LP.</w:t>
      </w:r>
    </w:p>
    <w:p w:rsidR="002B04FC" w:rsidRDefault="002B04FC" w:rsidP="00767908">
      <w:pPr>
        <w:numPr>
          <w:ilvl w:val="0"/>
          <w:numId w:val="21"/>
        </w:numPr>
        <w:tabs>
          <w:tab w:val="clear" w:pos="1080"/>
          <w:tab w:val="num" w:pos="0"/>
        </w:tabs>
        <w:ind w:left="720"/>
        <w:jc w:val="both"/>
        <w:rPr>
          <w:rFonts w:ascii="Verdana" w:hAnsi="Verdana"/>
          <w:sz w:val="22"/>
          <w:szCs w:val="22"/>
        </w:rPr>
      </w:pPr>
      <w:r>
        <w:rPr>
          <w:rFonts w:ascii="Verdana" w:hAnsi="Verdana"/>
          <w:sz w:val="22"/>
          <w:szCs w:val="22"/>
        </w:rPr>
        <w:lastRenderedPageBreak/>
        <w:t xml:space="preserve">The Talon Group, a division of First American Title Insurance Company, Inc. v. Tysons Financial, LLC.  Deposition, March 2010.  Plaintiff, </w:t>
      </w:r>
      <w:proofErr w:type="gramStart"/>
      <w:r>
        <w:rPr>
          <w:rFonts w:ascii="Verdana" w:hAnsi="Verdana"/>
          <w:sz w:val="22"/>
          <w:szCs w:val="22"/>
        </w:rPr>
        <w:t>The</w:t>
      </w:r>
      <w:proofErr w:type="gramEnd"/>
      <w:r>
        <w:rPr>
          <w:rFonts w:ascii="Verdana" w:hAnsi="Verdana"/>
          <w:sz w:val="22"/>
          <w:szCs w:val="22"/>
        </w:rPr>
        <w:t xml:space="preserve"> Talon Group, was the Client.  </w:t>
      </w:r>
    </w:p>
    <w:p w:rsidR="002B04FC" w:rsidRDefault="002B04FC" w:rsidP="00767908">
      <w:pPr>
        <w:numPr>
          <w:ilvl w:val="0"/>
          <w:numId w:val="21"/>
        </w:numPr>
        <w:tabs>
          <w:tab w:val="clear" w:pos="1080"/>
          <w:tab w:val="num" w:pos="0"/>
        </w:tabs>
        <w:ind w:left="720"/>
        <w:jc w:val="both"/>
        <w:rPr>
          <w:rFonts w:ascii="Verdana" w:hAnsi="Verdana"/>
          <w:sz w:val="22"/>
          <w:szCs w:val="22"/>
        </w:rPr>
      </w:pPr>
      <w:r>
        <w:rPr>
          <w:rFonts w:ascii="Verdana" w:hAnsi="Verdana"/>
          <w:sz w:val="22"/>
          <w:szCs w:val="22"/>
        </w:rPr>
        <w:t xml:space="preserve">Donald G. Smith, by Peter A. Holland, Esq., Guardian and Harry L. Smith, by Peter A. Holland, Esq., and Diane J. Smith v. IndyMac Mortgage Services, a Division of One West Bank, FSB, as successor to IndyMac Federal Bank, FSB and U. S. Bank, N.A. as Trustee for Lehman XS Trust Mortgage Pass-Through Certificate Series 2005-9N and/or Successor Trusts and Doe Companies/ Corporations 1 through X and Ruben </w:t>
      </w:r>
      <w:proofErr w:type="spellStart"/>
      <w:r>
        <w:rPr>
          <w:rFonts w:ascii="Verdana" w:hAnsi="Verdana"/>
          <w:sz w:val="22"/>
          <w:szCs w:val="22"/>
        </w:rPr>
        <w:t>Koene</w:t>
      </w:r>
      <w:proofErr w:type="spellEnd"/>
      <w:r>
        <w:rPr>
          <w:rFonts w:ascii="Verdana" w:hAnsi="Verdana"/>
          <w:sz w:val="22"/>
          <w:szCs w:val="22"/>
        </w:rPr>
        <w:t xml:space="preserve">, individually and d/b/a </w:t>
      </w:r>
      <w:proofErr w:type="spellStart"/>
      <w:r>
        <w:rPr>
          <w:rFonts w:ascii="Verdana" w:hAnsi="Verdana"/>
          <w:sz w:val="22"/>
          <w:szCs w:val="22"/>
        </w:rPr>
        <w:t>Cloverfield</w:t>
      </w:r>
      <w:proofErr w:type="spellEnd"/>
      <w:r>
        <w:rPr>
          <w:rFonts w:ascii="Verdana" w:hAnsi="Verdana"/>
          <w:sz w:val="22"/>
          <w:szCs w:val="22"/>
        </w:rPr>
        <w:t xml:space="preserve"> Mortgage and Competitive Title Agency, Inc. and Andrew I. David.  Deposition, April 2010.  Defendants IndyMac Mortgage Services and U. S. Bank were the Clients.  </w:t>
      </w:r>
    </w:p>
    <w:p w:rsidR="002B04FC" w:rsidRDefault="002B04FC" w:rsidP="00767908">
      <w:pPr>
        <w:numPr>
          <w:ilvl w:val="0"/>
          <w:numId w:val="21"/>
        </w:numPr>
        <w:tabs>
          <w:tab w:val="clear" w:pos="1080"/>
          <w:tab w:val="num" w:pos="0"/>
        </w:tabs>
        <w:ind w:left="720"/>
        <w:jc w:val="both"/>
        <w:rPr>
          <w:rFonts w:ascii="Verdana" w:hAnsi="Verdana"/>
          <w:sz w:val="22"/>
          <w:szCs w:val="22"/>
        </w:rPr>
      </w:pPr>
      <w:r>
        <w:rPr>
          <w:rFonts w:ascii="Verdana" w:hAnsi="Verdana"/>
          <w:sz w:val="22"/>
          <w:szCs w:val="22"/>
        </w:rPr>
        <w:t>Chase Manhattan Bank, as trustee for the GRMT II Mortgage Loan Trust 2000-1 dated September 1, 2000, Plaintiff v. Jo Matthews Hayes, as personal representative of the Estate of Donald Matthews, deceased, et al., Defendants.  Jo Matthews Hayes, as personal representative of the Estate of Donald Matthews, deceased, Third Party Plaintiff v. Fairbanks Capital Corp., Third Party Defendant.  Deposition, April 2010.  Plaintiff Chase Manhattan Bank and Third Party Defendant, Fairbanks Capital Corp. were the Clients.</w:t>
      </w:r>
    </w:p>
    <w:p w:rsidR="002B04FC" w:rsidRDefault="002B04FC" w:rsidP="00767908">
      <w:pPr>
        <w:numPr>
          <w:ilvl w:val="0"/>
          <w:numId w:val="21"/>
        </w:numPr>
        <w:tabs>
          <w:tab w:val="clear" w:pos="1080"/>
          <w:tab w:val="num" w:pos="0"/>
        </w:tabs>
        <w:ind w:left="720"/>
        <w:jc w:val="both"/>
        <w:rPr>
          <w:rFonts w:ascii="Verdana" w:hAnsi="Verdana"/>
          <w:sz w:val="22"/>
          <w:szCs w:val="22"/>
        </w:rPr>
      </w:pPr>
      <w:proofErr w:type="spellStart"/>
      <w:r>
        <w:rPr>
          <w:rFonts w:ascii="Verdana" w:hAnsi="Verdana"/>
          <w:sz w:val="22"/>
          <w:szCs w:val="22"/>
        </w:rPr>
        <w:t>Zvi</w:t>
      </w:r>
      <w:proofErr w:type="spellEnd"/>
      <w:r>
        <w:rPr>
          <w:rFonts w:ascii="Verdana" w:hAnsi="Verdana"/>
          <w:sz w:val="22"/>
          <w:szCs w:val="22"/>
        </w:rPr>
        <w:t xml:space="preserve"> </w:t>
      </w:r>
      <w:proofErr w:type="spellStart"/>
      <w:r>
        <w:rPr>
          <w:rFonts w:ascii="Verdana" w:hAnsi="Verdana"/>
          <w:sz w:val="22"/>
          <w:szCs w:val="22"/>
        </w:rPr>
        <w:t>Guttman</w:t>
      </w:r>
      <w:proofErr w:type="spellEnd"/>
      <w:r>
        <w:rPr>
          <w:rFonts w:ascii="Verdana" w:hAnsi="Verdana"/>
          <w:sz w:val="22"/>
          <w:szCs w:val="22"/>
        </w:rPr>
        <w:t xml:space="preserve">, Chapter 7 Trustee, Plaintiff v. Wells Fargo, N.A. as Trustee for the Holders of the First Franklin Mortgage Loan Trust 2006-FF15, Mortgage Pass Through Certificates Series 2006-FF15, Defendant.  In re: William Ross </w:t>
      </w:r>
      <w:proofErr w:type="spellStart"/>
      <w:r>
        <w:rPr>
          <w:rFonts w:ascii="Verdana" w:hAnsi="Verdana"/>
          <w:sz w:val="22"/>
          <w:szCs w:val="22"/>
        </w:rPr>
        <w:t>Coale</w:t>
      </w:r>
      <w:proofErr w:type="spellEnd"/>
      <w:r>
        <w:rPr>
          <w:rFonts w:ascii="Verdana" w:hAnsi="Verdana"/>
          <w:sz w:val="22"/>
          <w:szCs w:val="22"/>
        </w:rPr>
        <w:t xml:space="preserve"> and Sherrie Lynn </w:t>
      </w:r>
      <w:proofErr w:type="spellStart"/>
      <w:r>
        <w:rPr>
          <w:rFonts w:ascii="Verdana" w:hAnsi="Verdana"/>
          <w:sz w:val="22"/>
          <w:szCs w:val="22"/>
        </w:rPr>
        <w:t>Coale</w:t>
      </w:r>
      <w:proofErr w:type="spellEnd"/>
      <w:r>
        <w:rPr>
          <w:rFonts w:ascii="Verdana" w:hAnsi="Verdana"/>
          <w:sz w:val="22"/>
          <w:szCs w:val="22"/>
        </w:rPr>
        <w:t>, Debtors, Chapter 7.  Two Expert Reports, April 2010 and July 2010.  The Client was Wells Fargo, N.A.</w:t>
      </w:r>
    </w:p>
    <w:p w:rsidR="002B04FC" w:rsidRDefault="002B04FC" w:rsidP="00767908">
      <w:pPr>
        <w:numPr>
          <w:ilvl w:val="0"/>
          <w:numId w:val="21"/>
        </w:numPr>
        <w:tabs>
          <w:tab w:val="clear" w:pos="1080"/>
          <w:tab w:val="num" w:pos="0"/>
        </w:tabs>
        <w:ind w:left="720"/>
        <w:jc w:val="both"/>
        <w:rPr>
          <w:rFonts w:ascii="Verdana" w:hAnsi="Verdana"/>
          <w:sz w:val="22"/>
          <w:szCs w:val="22"/>
        </w:rPr>
      </w:pPr>
      <w:r>
        <w:rPr>
          <w:rFonts w:ascii="Verdana" w:hAnsi="Verdana"/>
          <w:sz w:val="22"/>
          <w:szCs w:val="22"/>
        </w:rPr>
        <w:t>Frederic W. Nessler v. G. Thomas Garten, Charles A. Henthorn, and First National Bank.  Expert Report, June 2010.  Defendant First National Bank was the Client.</w:t>
      </w:r>
    </w:p>
    <w:p w:rsidR="002B04FC" w:rsidRDefault="002B04FC" w:rsidP="00767908">
      <w:pPr>
        <w:numPr>
          <w:ilvl w:val="0"/>
          <w:numId w:val="21"/>
        </w:numPr>
        <w:tabs>
          <w:tab w:val="clear" w:pos="1080"/>
          <w:tab w:val="num" w:pos="0"/>
        </w:tabs>
        <w:ind w:left="720"/>
        <w:jc w:val="both"/>
        <w:rPr>
          <w:rFonts w:ascii="Verdana" w:hAnsi="Verdana"/>
          <w:sz w:val="22"/>
          <w:szCs w:val="22"/>
        </w:rPr>
      </w:pPr>
      <w:r>
        <w:rPr>
          <w:rFonts w:ascii="Verdana" w:hAnsi="Verdana"/>
          <w:sz w:val="22"/>
          <w:szCs w:val="22"/>
        </w:rPr>
        <w:t xml:space="preserve">Susie M. Homan and Janice T. Kruger v. Homes by New Century, LLC, Edward F. Moriarty, Thomas P. Moriarty, and Washington Mutual Bank.  Case Analysis, June 2010.  Defendant Washington Mutual Bank was the Client.  </w:t>
      </w:r>
    </w:p>
    <w:p w:rsidR="002B04FC" w:rsidRDefault="002B04FC" w:rsidP="00767908">
      <w:pPr>
        <w:numPr>
          <w:ilvl w:val="0"/>
          <w:numId w:val="21"/>
        </w:numPr>
        <w:tabs>
          <w:tab w:val="clear" w:pos="1080"/>
          <w:tab w:val="num" w:pos="0"/>
        </w:tabs>
        <w:ind w:left="720"/>
        <w:jc w:val="both"/>
        <w:rPr>
          <w:rFonts w:ascii="Verdana" w:hAnsi="Verdana"/>
          <w:sz w:val="22"/>
          <w:szCs w:val="22"/>
        </w:rPr>
      </w:pPr>
      <w:r>
        <w:rPr>
          <w:rFonts w:ascii="Verdana" w:hAnsi="Verdana"/>
          <w:sz w:val="22"/>
          <w:szCs w:val="22"/>
        </w:rPr>
        <w:t xml:space="preserve">David Hillman, Trustee for Southern Management Corporation Retirement Trust, and Southern Management Corporation Retirement Trust v. Cosmopolitan Real Estate Settlements, Inc., First American Title Company, LLC, First American Title Insurance Company, and Fidelity National Title Insurance Company.  Deposition Appearance, July 2010.  Defendants First American Title Company and First American Title Insurance Company were the Clients.  </w:t>
      </w:r>
    </w:p>
    <w:p w:rsidR="002B04FC" w:rsidRDefault="002B04FC" w:rsidP="00767908">
      <w:pPr>
        <w:numPr>
          <w:ilvl w:val="0"/>
          <w:numId w:val="21"/>
        </w:numPr>
        <w:tabs>
          <w:tab w:val="clear" w:pos="1080"/>
          <w:tab w:val="num" w:pos="0"/>
        </w:tabs>
        <w:ind w:left="720"/>
        <w:jc w:val="both"/>
        <w:rPr>
          <w:rFonts w:ascii="Verdana" w:hAnsi="Verdana"/>
          <w:sz w:val="22"/>
          <w:szCs w:val="22"/>
        </w:rPr>
      </w:pPr>
      <w:r w:rsidRPr="00746131">
        <w:rPr>
          <w:rFonts w:ascii="Verdana" w:hAnsi="Verdana"/>
          <w:sz w:val="22"/>
          <w:szCs w:val="22"/>
        </w:rPr>
        <w:t>James E. Combs and Jill R. Combs</w:t>
      </w:r>
      <w:r>
        <w:rPr>
          <w:rFonts w:ascii="Verdana" w:hAnsi="Verdana"/>
          <w:sz w:val="22"/>
          <w:szCs w:val="22"/>
        </w:rPr>
        <w:t xml:space="preserve"> v. Countrywide Home Loans Servicing LP and </w:t>
      </w:r>
      <w:proofErr w:type="gramStart"/>
      <w:r>
        <w:rPr>
          <w:rFonts w:ascii="Verdana" w:hAnsi="Verdana"/>
          <w:sz w:val="22"/>
          <w:szCs w:val="22"/>
        </w:rPr>
        <w:t>The</w:t>
      </w:r>
      <w:proofErr w:type="gramEnd"/>
      <w:r>
        <w:rPr>
          <w:rFonts w:ascii="Verdana" w:hAnsi="Verdana"/>
          <w:sz w:val="22"/>
          <w:szCs w:val="22"/>
        </w:rPr>
        <w:t xml:space="preserve"> Bank of New York.  Expert Report, July 2010.  Defendants Countrywide Home Loans Servicing LP and The Bank of New York were the Clients.</w:t>
      </w:r>
    </w:p>
    <w:p w:rsidR="002B04FC" w:rsidRDefault="002B04FC" w:rsidP="00767908">
      <w:pPr>
        <w:numPr>
          <w:ilvl w:val="0"/>
          <w:numId w:val="21"/>
        </w:numPr>
        <w:tabs>
          <w:tab w:val="clear" w:pos="1080"/>
          <w:tab w:val="num" w:pos="0"/>
        </w:tabs>
        <w:ind w:left="720"/>
        <w:jc w:val="both"/>
        <w:rPr>
          <w:rFonts w:ascii="Verdana" w:hAnsi="Verdana"/>
          <w:sz w:val="22"/>
          <w:szCs w:val="22"/>
        </w:rPr>
      </w:pPr>
      <w:r>
        <w:rPr>
          <w:rFonts w:ascii="Verdana" w:hAnsi="Verdana"/>
          <w:sz w:val="22"/>
          <w:szCs w:val="22"/>
        </w:rPr>
        <w:t xml:space="preserve">FDIC, as Receiver for </w:t>
      </w:r>
      <w:proofErr w:type="spellStart"/>
      <w:r>
        <w:rPr>
          <w:rFonts w:ascii="Verdana" w:hAnsi="Verdana"/>
          <w:sz w:val="22"/>
          <w:szCs w:val="22"/>
        </w:rPr>
        <w:t>BankFirst</w:t>
      </w:r>
      <w:proofErr w:type="spellEnd"/>
      <w:r>
        <w:rPr>
          <w:rFonts w:ascii="Verdana" w:hAnsi="Verdana"/>
          <w:sz w:val="22"/>
          <w:szCs w:val="22"/>
        </w:rPr>
        <w:t xml:space="preserve">, a South Dakota corporation vs. Anoka Appraisal Services, an unincorporated entity based in Minnesota; Charles Hanson, an individual, as owner and sole proprietor of Anoka Appraisal Services; Hanson Appraisal Services, Inc., a Minnesota corporation, as current successor to Anoka Appraisal Services; James A. </w:t>
      </w:r>
      <w:proofErr w:type="spellStart"/>
      <w:r>
        <w:rPr>
          <w:rFonts w:ascii="Verdana" w:hAnsi="Verdana"/>
          <w:sz w:val="22"/>
          <w:szCs w:val="22"/>
        </w:rPr>
        <w:t>Zweifel</w:t>
      </w:r>
      <w:proofErr w:type="spellEnd"/>
      <w:r>
        <w:rPr>
          <w:rFonts w:ascii="Verdana" w:hAnsi="Verdana"/>
          <w:sz w:val="22"/>
          <w:szCs w:val="22"/>
        </w:rPr>
        <w:t>, an individual; and Lori Hanson, an individual.  Expert Report, July 2010.  The Plaintiff, the FDIC, was the Client.</w:t>
      </w:r>
    </w:p>
    <w:p w:rsidR="002B04FC" w:rsidRDefault="002B04FC" w:rsidP="00767908">
      <w:pPr>
        <w:numPr>
          <w:ilvl w:val="0"/>
          <w:numId w:val="21"/>
        </w:numPr>
        <w:tabs>
          <w:tab w:val="clear" w:pos="1080"/>
          <w:tab w:val="num" w:pos="0"/>
        </w:tabs>
        <w:ind w:left="720"/>
        <w:jc w:val="both"/>
        <w:rPr>
          <w:rFonts w:ascii="Verdana" w:hAnsi="Verdana"/>
          <w:sz w:val="22"/>
          <w:szCs w:val="22"/>
        </w:rPr>
      </w:pPr>
      <w:r>
        <w:rPr>
          <w:rFonts w:ascii="Verdana" w:hAnsi="Verdana"/>
          <w:sz w:val="22"/>
          <w:szCs w:val="22"/>
        </w:rPr>
        <w:lastRenderedPageBreak/>
        <w:t xml:space="preserve">Brian </w:t>
      </w:r>
      <w:proofErr w:type="spellStart"/>
      <w:r>
        <w:rPr>
          <w:rFonts w:ascii="Verdana" w:hAnsi="Verdana"/>
          <w:sz w:val="22"/>
          <w:szCs w:val="22"/>
        </w:rPr>
        <w:t>Middough</w:t>
      </w:r>
      <w:proofErr w:type="spellEnd"/>
      <w:r>
        <w:rPr>
          <w:rFonts w:ascii="Verdana" w:hAnsi="Verdana"/>
          <w:sz w:val="22"/>
          <w:szCs w:val="22"/>
        </w:rPr>
        <w:t xml:space="preserve"> v. Suzanne M. Brown, Clinton A. </w:t>
      </w:r>
      <w:proofErr w:type="spellStart"/>
      <w:r>
        <w:rPr>
          <w:rFonts w:ascii="Verdana" w:hAnsi="Verdana"/>
          <w:sz w:val="22"/>
          <w:szCs w:val="22"/>
        </w:rPr>
        <w:t>Touart</w:t>
      </w:r>
      <w:proofErr w:type="spellEnd"/>
      <w:r>
        <w:rPr>
          <w:rFonts w:ascii="Verdana" w:hAnsi="Verdana"/>
          <w:sz w:val="22"/>
          <w:szCs w:val="22"/>
        </w:rPr>
        <w:t>, III, Neil Kantor, Empire Equity Group, Pruitt Title, LLC, SunTrust Mortgage, Inc., and CitiMortgage, Inc.  Case analysis, August 2010.  Defendant CitiMortgage, Inc. was the Client.</w:t>
      </w:r>
    </w:p>
    <w:p w:rsidR="002B04FC" w:rsidRDefault="002B04FC" w:rsidP="00767908">
      <w:pPr>
        <w:numPr>
          <w:ilvl w:val="0"/>
          <w:numId w:val="21"/>
        </w:numPr>
        <w:tabs>
          <w:tab w:val="clear" w:pos="1080"/>
          <w:tab w:val="num" w:pos="0"/>
        </w:tabs>
        <w:ind w:left="720"/>
        <w:jc w:val="both"/>
        <w:rPr>
          <w:rFonts w:ascii="Verdana" w:hAnsi="Verdana"/>
          <w:sz w:val="22"/>
          <w:szCs w:val="22"/>
        </w:rPr>
      </w:pPr>
      <w:r>
        <w:rPr>
          <w:rFonts w:ascii="Verdana" w:hAnsi="Verdana"/>
          <w:sz w:val="22"/>
          <w:szCs w:val="22"/>
        </w:rPr>
        <w:t>William E. Johnson and Peter R. Lau v. Experian Information Solutions, Inc., Trans Union, LLC, EquiFax Information Services, LLC, and Select Portfolio Servicing, Inc.  Expert Report, September 2010.  Defendant Select Portfolio Servicing, Inc. was the Client.</w:t>
      </w:r>
    </w:p>
    <w:p w:rsidR="002B04FC" w:rsidRDefault="002B04FC" w:rsidP="00767908">
      <w:pPr>
        <w:numPr>
          <w:ilvl w:val="0"/>
          <w:numId w:val="21"/>
        </w:numPr>
        <w:tabs>
          <w:tab w:val="clear" w:pos="1080"/>
          <w:tab w:val="num" w:pos="0"/>
        </w:tabs>
        <w:ind w:left="720"/>
        <w:jc w:val="both"/>
        <w:rPr>
          <w:rFonts w:ascii="Verdana" w:hAnsi="Verdana"/>
          <w:sz w:val="22"/>
          <w:szCs w:val="22"/>
        </w:rPr>
      </w:pPr>
      <w:r>
        <w:rPr>
          <w:rFonts w:ascii="Verdana" w:hAnsi="Verdana"/>
          <w:sz w:val="22"/>
          <w:szCs w:val="22"/>
        </w:rPr>
        <w:t>B &amp; W, Inc. v. First National Bank, N.A., G. Thomas Garten, and Charles A. Henthorn.  Expert Report, November 2010.  Defendant First National Bank was the Client.</w:t>
      </w:r>
    </w:p>
    <w:p w:rsidR="002B04FC" w:rsidRDefault="002B04FC" w:rsidP="00767908">
      <w:pPr>
        <w:numPr>
          <w:ilvl w:val="0"/>
          <w:numId w:val="21"/>
        </w:numPr>
        <w:tabs>
          <w:tab w:val="clear" w:pos="1080"/>
          <w:tab w:val="num" w:pos="0"/>
        </w:tabs>
        <w:ind w:left="720"/>
        <w:jc w:val="both"/>
        <w:rPr>
          <w:rFonts w:ascii="Verdana" w:hAnsi="Verdana"/>
          <w:sz w:val="22"/>
          <w:szCs w:val="22"/>
        </w:rPr>
      </w:pPr>
      <w:r>
        <w:rPr>
          <w:rFonts w:ascii="Verdana" w:hAnsi="Verdana"/>
          <w:sz w:val="22"/>
          <w:szCs w:val="22"/>
        </w:rPr>
        <w:t xml:space="preserve">Federal Deposit Insurance Corporation, in its capacity as Receiver for NetBank, FSB v. Optimum Title, LLC.  Expert Report, March 2011.  Deposition Appearance, June 2011.  The FDIC was the Client.  </w:t>
      </w:r>
    </w:p>
    <w:p w:rsidR="002B04FC" w:rsidRDefault="002B04FC" w:rsidP="00767908">
      <w:pPr>
        <w:numPr>
          <w:ilvl w:val="0"/>
          <w:numId w:val="21"/>
        </w:numPr>
        <w:tabs>
          <w:tab w:val="clear" w:pos="1080"/>
          <w:tab w:val="num" w:pos="0"/>
        </w:tabs>
        <w:ind w:left="720"/>
        <w:jc w:val="both"/>
        <w:rPr>
          <w:rFonts w:ascii="Verdana" w:hAnsi="Verdana"/>
          <w:sz w:val="22"/>
          <w:szCs w:val="22"/>
        </w:rPr>
      </w:pPr>
      <w:r>
        <w:rPr>
          <w:rFonts w:ascii="Verdana" w:hAnsi="Verdana"/>
          <w:sz w:val="22"/>
          <w:szCs w:val="22"/>
        </w:rPr>
        <w:t>Federal Deposit Insurance Corporation, in its capacity as Receiver for NetBank, FSB v. First American Title Insurance Company.  Expert Report, March 2011.  Deposition Appearance, April 2011.  The FDIC was the Client.</w:t>
      </w:r>
    </w:p>
    <w:p w:rsidR="002B04FC" w:rsidRDefault="002B04FC" w:rsidP="00767908">
      <w:pPr>
        <w:numPr>
          <w:ilvl w:val="0"/>
          <w:numId w:val="21"/>
        </w:numPr>
        <w:tabs>
          <w:tab w:val="clear" w:pos="1080"/>
          <w:tab w:val="num" w:pos="0"/>
        </w:tabs>
        <w:ind w:left="720"/>
        <w:jc w:val="both"/>
        <w:rPr>
          <w:rFonts w:ascii="Verdana" w:hAnsi="Verdana"/>
          <w:sz w:val="22"/>
          <w:szCs w:val="22"/>
        </w:rPr>
      </w:pPr>
      <w:r>
        <w:rPr>
          <w:rFonts w:ascii="Verdana" w:hAnsi="Verdana"/>
          <w:sz w:val="22"/>
          <w:szCs w:val="22"/>
        </w:rPr>
        <w:t xml:space="preserve">Lynn Davidson, individually and as the Executrix of the Estate of Leslie H. Davidson v. HSBC Mortgage Services, Inc., </w:t>
      </w:r>
      <w:proofErr w:type="spellStart"/>
      <w:r>
        <w:rPr>
          <w:rFonts w:ascii="Verdana" w:hAnsi="Verdana"/>
          <w:sz w:val="22"/>
          <w:szCs w:val="22"/>
        </w:rPr>
        <w:t>Crevecor</w:t>
      </w:r>
      <w:proofErr w:type="spellEnd"/>
      <w:r>
        <w:rPr>
          <w:rFonts w:ascii="Verdana" w:hAnsi="Verdana"/>
          <w:sz w:val="22"/>
          <w:szCs w:val="22"/>
        </w:rPr>
        <w:t xml:space="preserve"> Mortgage, Inc., Mutual Builders Acceptance Group, LP, Direct Settlement Services, Great Lakes Financial Corporation, Doyle &amp; Associates, Beneficial West Virginia, Inc., Michael W. Doyle, Lawrence E. </w:t>
      </w:r>
      <w:proofErr w:type="spellStart"/>
      <w:r>
        <w:rPr>
          <w:rFonts w:ascii="Verdana" w:hAnsi="Verdana"/>
          <w:sz w:val="22"/>
          <w:szCs w:val="22"/>
        </w:rPr>
        <w:t>Bolind</w:t>
      </w:r>
      <w:proofErr w:type="spellEnd"/>
      <w:r>
        <w:rPr>
          <w:rFonts w:ascii="Verdana" w:hAnsi="Verdana"/>
          <w:sz w:val="22"/>
          <w:szCs w:val="22"/>
        </w:rPr>
        <w:t>, Jr., Richard Pill, and John Doe employee(s).  Expert Report, April 2011.  Defendants HSBC Mortgage Services, Inc. and Beneficial West Virginia, Inc. were the Clients.</w:t>
      </w:r>
    </w:p>
    <w:p w:rsidR="002B04FC" w:rsidRDefault="002B04FC" w:rsidP="00767908">
      <w:pPr>
        <w:numPr>
          <w:ilvl w:val="0"/>
          <w:numId w:val="21"/>
        </w:numPr>
        <w:tabs>
          <w:tab w:val="clear" w:pos="1080"/>
          <w:tab w:val="num" w:pos="0"/>
        </w:tabs>
        <w:ind w:left="720"/>
        <w:jc w:val="both"/>
        <w:rPr>
          <w:rFonts w:ascii="Verdana" w:hAnsi="Verdana"/>
          <w:sz w:val="22"/>
          <w:szCs w:val="22"/>
        </w:rPr>
      </w:pPr>
      <w:r>
        <w:rPr>
          <w:rFonts w:ascii="Verdana" w:hAnsi="Verdana"/>
          <w:sz w:val="22"/>
          <w:szCs w:val="22"/>
        </w:rPr>
        <w:t xml:space="preserve">Pete Olean v. Huntington National Bank, Huntington Bancshares, Inc., West Union Bank, Freedom Bank, and John Doe Defendant Bank.  Case Analysis, May 2011.  Plaintiff Pete Olean was the Client.  </w:t>
      </w:r>
    </w:p>
    <w:p w:rsidR="002B04FC" w:rsidRDefault="002B04FC" w:rsidP="00767908">
      <w:pPr>
        <w:numPr>
          <w:ilvl w:val="0"/>
          <w:numId w:val="21"/>
        </w:numPr>
        <w:tabs>
          <w:tab w:val="clear" w:pos="1080"/>
          <w:tab w:val="num" w:pos="0"/>
        </w:tabs>
        <w:ind w:left="720"/>
        <w:jc w:val="both"/>
        <w:rPr>
          <w:rFonts w:ascii="Verdana" w:hAnsi="Verdana"/>
          <w:sz w:val="22"/>
          <w:szCs w:val="22"/>
        </w:rPr>
      </w:pPr>
      <w:r>
        <w:rPr>
          <w:rFonts w:ascii="Verdana" w:hAnsi="Verdana"/>
          <w:sz w:val="22"/>
          <w:szCs w:val="22"/>
        </w:rPr>
        <w:t xml:space="preserve">Shayne Denver </w:t>
      </w:r>
      <w:proofErr w:type="spellStart"/>
      <w:r>
        <w:rPr>
          <w:rFonts w:ascii="Verdana" w:hAnsi="Verdana"/>
          <w:sz w:val="22"/>
          <w:szCs w:val="22"/>
        </w:rPr>
        <w:t>Bittinger</w:t>
      </w:r>
      <w:proofErr w:type="spellEnd"/>
      <w:r>
        <w:rPr>
          <w:rFonts w:ascii="Verdana" w:hAnsi="Verdana"/>
          <w:sz w:val="22"/>
          <w:szCs w:val="22"/>
        </w:rPr>
        <w:t xml:space="preserve"> v. Beneficial West Virginia, Inc.  Expert Report, May 2011.  Defendant Beneficial West Virginia, Inc. was the Client.    </w:t>
      </w:r>
    </w:p>
    <w:p w:rsidR="002B04FC" w:rsidRDefault="002B04FC" w:rsidP="00767908">
      <w:pPr>
        <w:numPr>
          <w:ilvl w:val="0"/>
          <w:numId w:val="21"/>
        </w:numPr>
        <w:tabs>
          <w:tab w:val="clear" w:pos="1080"/>
          <w:tab w:val="num" w:pos="0"/>
        </w:tabs>
        <w:ind w:left="720"/>
        <w:jc w:val="both"/>
        <w:rPr>
          <w:rFonts w:ascii="Verdana" w:hAnsi="Verdana"/>
          <w:sz w:val="22"/>
          <w:szCs w:val="22"/>
        </w:rPr>
      </w:pPr>
      <w:r>
        <w:rPr>
          <w:rFonts w:ascii="Verdana" w:hAnsi="Verdana"/>
          <w:sz w:val="22"/>
          <w:szCs w:val="22"/>
        </w:rPr>
        <w:t>Dean Hanson, individually and d/b/a Hanson Cattle Company and Shellbark Farms v. First National Bank, G. Thomas Garten, and Charles A. Henthorn.  Expert Report, June 2011.  Deposition Appearance, August 2011.  Defendant First National Bank was the Client.</w:t>
      </w:r>
    </w:p>
    <w:p w:rsidR="002B04FC" w:rsidRDefault="002B04FC" w:rsidP="00767908">
      <w:pPr>
        <w:numPr>
          <w:ilvl w:val="0"/>
          <w:numId w:val="21"/>
        </w:numPr>
        <w:tabs>
          <w:tab w:val="clear" w:pos="1080"/>
          <w:tab w:val="num" w:pos="0"/>
        </w:tabs>
        <w:ind w:left="720"/>
        <w:jc w:val="both"/>
        <w:rPr>
          <w:rFonts w:ascii="Verdana" w:hAnsi="Verdana"/>
          <w:sz w:val="22"/>
          <w:szCs w:val="22"/>
        </w:rPr>
      </w:pPr>
      <w:r>
        <w:rPr>
          <w:rFonts w:ascii="Verdana" w:hAnsi="Verdana"/>
          <w:sz w:val="22"/>
          <w:szCs w:val="22"/>
        </w:rPr>
        <w:t xml:space="preserve">Martin Kofi </w:t>
      </w:r>
      <w:proofErr w:type="spellStart"/>
      <w:r>
        <w:rPr>
          <w:rFonts w:ascii="Verdana" w:hAnsi="Verdana"/>
          <w:sz w:val="22"/>
          <w:szCs w:val="22"/>
        </w:rPr>
        <w:t>Frempong</w:t>
      </w:r>
      <w:proofErr w:type="spellEnd"/>
      <w:r>
        <w:rPr>
          <w:rFonts w:ascii="Verdana" w:hAnsi="Verdana"/>
          <w:sz w:val="22"/>
          <w:szCs w:val="22"/>
        </w:rPr>
        <w:t xml:space="preserve"> v. </w:t>
      </w:r>
      <w:proofErr w:type="spellStart"/>
      <w:r>
        <w:rPr>
          <w:rFonts w:ascii="Verdana" w:hAnsi="Verdana"/>
          <w:sz w:val="22"/>
          <w:szCs w:val="22"/>
        </w:rPr>
        <w:t>Kwasi</w:t>
      </w:r>
      <w:proofErr w:type="spellEnd"/>
      <w:r>
        <w:rPr>
          <w:rFonts w:ascii="Verdana" w:hAnsi="Verdana"/>
          <w:sz w:val="22"/>
          <w:szCs w:val="22"/>
        </w:rPr>
        <w:t xml:space="preserve"> </w:t>
      </w:r>
      <w:proofErr w:type="spellStart"/>
      <w:r>
        <w:rPr>
          <w:rFonts w:ascii="Verdana" w:hAnsi="Verdana"/>
          <w:sz w:val="22"/>
          <w:szCs w:val="22"/>
        </w:rPr>
        <w:t>Frempong</w:t>
      </w:r>
      <w:proofErr w:type="spellEnd"/>
      <w:r>
        <w:rPr>
          <w:rFonts w:ascii="Verdana" w:hAnsi="Verdana"/>
          <w:sz w:val="22"/>
          <w:szCs w:val="22"/>
        </w:rPr>
        <w:t xml:space="preserve">, </w:t>
      </w:r>
      <w:proofErr w:type="spellStart"/>
      <w:r>
        <w:rPr>
          <w:rFonts w:ascii="Verdana" w:hAnsi="Verdana"/>
          <w:sz w:val="22"/>
          <w:szCs w:val="22"/>
        </w:rPr>
        <w:t>Adwoa</w:t>
      </w:r>
      <w:proofErr w:type="spellEnd"/>
      <w:r>
        <w:rPr>
          <w:rFonts w:ascii="Verdana" w:hAnsi="Verdana"/>
          <w:sz w:val="22"/>
          <w:szCs w:val="22"/>
        </w:rPr>
        <w:t xml:space="preserve"> A. </w:t>
      </w:r>
      <w:proofErr w:type="spellStart"/>
      <w:r>
        <w:rPr>
          <w:rFonts w:ascii="Verdana" w:hAnsi="Verdana"/>
          <w:sz w:val="22"/>
          <w:szCs w:val="22"/>
        </w:rPr>
        <w:t>Frempong</w:t>
      </w:r>
      <w:proofErr w:type="spellEnd"/>
      <w:r>
        <w:rPr>
          <w:rFonts w:ascii="Verdana" w:hAnsi="Verdana"/>
          <w:sz w:val="22"/>
          <w:szCs w:val="22"/>
        </w:rPr>
        <w:t xml:space="preserve">, and Cosmopolitan Real Estate Settlements, Inc.  Expert Report, July 2011.  Plaintiff Martin Kofi </w:t>
      </w:r>
      <w:proofErr w:type="spellStart"/>
      <w:r>
        <w:rPr>
          <w:rFonts w:ascii="Verdana" w:hAnsi="Verdana"/>
          <w:sz w:val="22"/>
          <w:szCs w:val="22"/>
        </w:rPr>
        <w:t>Frempong</w:t>
      </w:r>
      <w:proofErr w:type="spellEnd"/>
      <w:r>
        <w:rPr>
          <w:rFonts w:ascii="Verdana" w:hAnsi="Verdana"/>
          <w:sz w:val="22"/>
          <w:szCs w:val="22"/>
        </w:rPr>
        <w:t xml:space="preserve"> was the Client.   </w:t>
      </w:r>
    </w:p>
    <w:p w:rsidR="002B04FC" w:rsidRDefault="002B04FC" w:rsidP="00767908">
      <w:pPr>
        <w:numPr>
          <w:ilvl w:val="0"/>
          <w:numId w:val="21"/>
        </w:numPr>
        <w:tabs>
          <w:tab w:val="clear" w:pos="1080"/>
          <w:tab w:val="num" w:pos="0"/>
        </w:tabs>
        <w:ind w:left="720"/>
        <w:jc w:val="both"/>
        <w:rPr>
          <w:rFonts w:ascii="Verdana" w:hAnsi="Verdana"/>
          <w:sz w:val="22"/>
          <w:szCs w:val="22"/>
        </w:rPr>
      </w:pPr>
      <w:r>
        <w:rPr>
          <w:rFonts w:ascii="Verdana" w:hAnsi="Verdana"/>
          <w:sz w:val="22"/>
          <w:szCs w:val="22"/>
        </w:rPr>
        <w:t xml:space="preserve">Leonard </w:t>
      </w:r>
      <w:proofErr w:type="spellStart"/>
      <w:r>
        <w:rPr>
          <w:rFonts w:ascii="Verdana" w:hAnsi="Verdana"/>
          <w:sz w:val="22"/>
          <w:szCs w:val="22"/>
        </w:rPr>
        <w:t>Gelman</w:t>
      </w:r>
      <w:proofErr w:type="spellEnd"/>
      <w:r>
        <w:rPr>
          <w:rFonts w:ascii="Verdana" w:hAnsi="Verdana"/>
          <w:sz w:val="22"/>
          <w:szCs w:val="22"/>
        </w:rPr>
        <w:t xml:space="preserve">, Neil </w:t>
      </w:r>
      <w:proofErr w:type="spellStart"/>
      <w:r>
        <w:rPr>
          <w:rFonts w:ascii="Verdana" w:hAnsi="Verdana"/>
          <w:sz w:val="22"/>
          <w:szCs w:val="22"/>
        </w:rPr>
        <w:t>Erlichman</w:t>
      </w:r>
      <w:proofErr w:type="spellEnd"/>
      <w:r>
        <w:rPr>
          <w:rFonts w:ascii="Verdana" w:hAnsi="Verdana"/>
          <w:sz w:val="22"/>
          <w:szCs w:val="22"/>
        </w:rPr>
        <w:t xml:space="preserve">, 13250 </w:t>
      </w:r>
      <w:proofErr w:type="spellStart"/>
      <w:r>
        <w:rPr>
          <w:rFonts w:ascii="Verdana" w:hAnsi="Verdana"/>
          <w:sz w:val="22"/>
          <w:szCs w:val="22"/>
        </w:rPr>
        <w:t>Trevose</w:t>
      </w:r>
      <w:proofErr w:type="spellEnd"/>
      <w:r>
        <w:rPr>
          <w:rFonts w:ascii="Verdana" w:hAnsi="Verdana"/>
          <w:sz w:val="22"/>
          <w:szCs w:val="22"/>
        </w:rPr>
        <w:t>, LLC, Allied Land Transfer, Inc., Attorneys Select Abstract, Inc., Liberty Building Associates, LLC, Liberty One Financial, Inc., PAQ Holdings Corporation, and Wellington Companies, LLC v. Citizens Bank of Pennsylvania and Citizens Financial Group, Inc.  Expert Report, July 2011.  Defendants Citizens Bank of Pennsylvania and Citizens Financial Group, Inc. were the Clients.</w:t>
      </w:r>
    </w:p>
    <w:p w:rsidR="002B04FC" w:rsidRDefault="002B04FC" w:rsidP="00767908">
      <w:pPr>
        <w:numPr>
          <w:ilvl w:val="0"/>
          <w:numId w:val="21"/>
        </w:numPr>
        <w:tabs>
          <w:tab w:val="clear" w:pos="1080"/>
          <w:tab w:val="num" w:pos="0"/>
        </w:tabs>
        <w:ind w:left="720"/>
        <w:jc w:val="both"/>
        <w:rPr>
          <w:rFonts w:ascii="Verdana" w:hAnsi="Verdana"/>
          <w:sz w:val="22"/>
          <w:szCs w:val="22"/>
        </w:rPr>
      </w:pPr>
      <w:r>
        <w:rPr>
          <w:rFonts w:ascii="Verdana" w:hAnsi="Verdana"/>
          <w:sz w:val="22"/>
          <w:szCs w:val="22"/>
        </w:rPr>
        <w:t xml:space="preserve">Susanne and Peter </w:t>
      </w:r>
      <w:proofErr w:type="spellStart"/>
      <w:r>
        <w:rPr>
          <w:rFonts w:ascii="Verdana" w:hAnsi="Verdana"/>
          <w:sz w:val="22"/>
          <w:szCs w:val="22"/>
        </w:rPr>
        <w:t>Drakopoulos</w:t>
      </w:r>
      <w:proofErr w:type="spellEnd"/>
      <w:r>
        <w:rPr>
          <w:rFonts w:ascii="Verdana" w:hAnsi="Verdana"/>
          <w:sz w:val="22"/>
          <w:szCs w:val="22"/>
        </w:rPr>
        <w:t xml:space="preserve"> v. U. S. Bank, N.A. and Select Portfolio Servicing, Inc.  Expert Report, July 2011.  </w:t>
      </w:r>
      <w:r w:rsidR="00740A34">
        <w:rPr>
          <w:rFonts w:ascii="Verdana" w:hAnsi="Verdana"/>
          <w:sz w:val="22"/>
          <w:szCs w:val="22"/>
        </w:rPr>
        <w:t xml:space="preserve">Trial preparation, June 2015.  </w:t>
      </w:r>
      <w:r>
        <w:rPr>
          <w:rFonts w:ascii="Verdana" w:hAnsi="Verdana"/>
          <w:sz w:val="22"/>
          <w:szCs w:val="22"/>
        </w:rPr>
        <w:t>Defendants U. S. Bank, N.A. and Select Portfolio Servicing, Inc. were the Clients.</w:t>
      </w:r>
    </w:p>
    <w:p w:rsidR="002B04FC" w:rsidRPr="00C560D5" w:rsidRDefault="002B04FC" w:rsidP="00767908">
      <w:pPr>
        <w:numPr>
          <w:ilvl w:val="0"/>
          <w:numId w:val="21"/>
        </w:numPr>
        <w:tabs>
          <w:tab w:val="clear" w:pos="1080"/>
          <w:tab w:val="num" w:pos="0"/>
        </w:tabs>
        <w:ind w:left="720"/>
        <w:jc w:val="both"/>
        <w:rPr>
          <w:rFonts w:ascii="Verdana" w:hAnsi="Verdana"/>
          <w:sz w:val="22"/>
          <w:szCs w:val="22"/>
        </w:rPr>
      </w:pPr>
      <w:r w:rsidRPr="00746131">
        <w:rPr>
          <w:rFonts w:ascii="Verdana" w:hAnsi="Verdana"/>
          <w:sz w:val="22"/>
        </w:rPr>
        <w:t>Ronald E. Smith, Sr. and Donna C. Smith</w:t>
      </w:r>
      <w:r>
        <w:rPr>
          <w:rFonts w:ascii="Verdana" w:hAnsi="Verdana"/>
          <w:sz w:val="22"/>
        </w:rPr>
        <w:t xml:space="preserve"> v. BAC Home Loans Servicing, LP, Bank of America, NA, Wells Fargo Bank, NA, Delta Funding Trust HEL Trust </w:t>
      </w:r>
      <w:r>
        <w:rPr>
          <w:rFonts w:ascii="Verdana" w:hAnsi="Verdana"/>
          <w:sz w:val="22"/>
        </w:rPr>
        <w:lastRenderedPageBreak/>
        <w:t>2000-3, Wells Fargo Bank Minnesota, NA, Unknown Investors/Certificate Holders for Delta Funding Trust HEL Trust 2000-3, and Anthony E. Freda.  Expert Report, August 2011.  All Defendants except Anthony E. Freda were the Clients.</w:t>
      </w:r>
    </w:p>
    <w:p w:rsidR="002B04FC" w:rsidRPr="002B04FC" w:rsidRDefault="002B04FC" w:rsidP="002B04FC">
      <w:pPr>
        <w:numPr>
          <w:ilvl w:val="0"/>
          <w:numId w:val="21"/>
        </w:numPr>
        <w:tabs>
          <w:tab w:val="clear" w:pos="1080"/>
        </w:tabs>
        <w:ind w:left="720"/>
        <w:jc w:val="both"/>
        <w:rPr>
          <w:rFonts w:ascii="Verdana" w:hAnsi="Verdana"/>
          <w:sz w:val="22"/>
          <w:u w:val="single"/>
        </w:rPr>
      </w:pPr>
      <w:r w:rsidRPr="003E3795">
        <w:rPr>
          <w:rFonts w:ascii="Verdana" w:hAnsi="Verdana"/>
          <w:sz w:val="22"/>
        </w:rPr>
        <w:t xml:space="preserve">Michael T. Dolan v. Fairbanks Capital Corp. and PMI Mortgage Insurance Company. </w:t>
      </w:r>
      <w:r>
        <w:rPr>
          <w:rFonts w:ascii="Verdana" w:hAnsi="Verdana"/>
          <w:sz w:val="22"/>
        </w:rPr>
        <w:t xml:space="preserve"> </w:t>
      </w:r>
      <w:r w:rsidRPr="003E3795">
        <w:rPr>
          <w:rFonts w:ascii="Verdana" w:hAnsi="Verdana"/>
          <w:sz w:val="22"/>
        </w:rPr>
        <w:t xml:space="preserve">Expert Report, January 2012.  </w:t>
      </w:r>
      <w:r w:rsidR="00755F73">
        <w:rPr>
          <w:rFonts w:ascii="Verdana" w:hAnsi="Verdana"/>
          <w:sz w:val="22"/>
        </w:rPr>
        <w:t xml:space="preserve">Trial Testimony, October 2016.  </w:t>
      </w:r>
      <w:r w:rsidRPr="003E3795">
        <w:rPr>
          <w:rFonts w:ascii="Verdana" w:hAnsi="Verdana"/>
          <w:sz w:val="22"/>
        </w:rPr>
        <w:t>Fairbanks Capital Corp. was the Client.</w:t>
      </w:r>
    </w:p>
    <w:p w:rsidR="002B04FC" w:rsidRPr="00D67D41" w:rsidRDefault="007752AD" w:rsidP="002B04FC">
      <w:pPr>
        <w:numPr>
          <w:ilvl w:val="0"/>
          <w:numId w:val="21"/>
        </w:numPr>
        <w:tabs>
          <w:tab w:val="clear" w:pos="1080"/>
        </w:tabs>
        <w:ind w:left="720"/>
        <w:jc w:val="both"/>
        <w:rPr>
          <w:rFonts w:ascii="Verdana" w:hAnsi="Verdana"/>
          <w:sz w:val="22"/>
          <w:u w:val="single"/>
        </w:rPr>
      </w:pPr>
      <w:r>
        <w:rPr>
          <w:rFonts w:ascii="Verdana" w:hAnsi="Verdana"/>
          <w:sz w:val="22"/>
          <w:szCs w:val="22"/>
        </w:rPr>
        <w:t xml:space="preserve">JPMorgan Chase Bank, N.A. v. Mark D. Peterson, an individual and d/b/a Appraisal Services, Inc., a Utah corporation, and Metro National Title, a Utah corporation.  Expert Report, May 2012.  </w:t>
      </w:r>
      <w:r w:rsidR="00A92E37">
        <w:rPr>
          <w:rFonts w:ascii="Verdana" w:hAnsi="Verdana"/>
          <w:sz w:val="22"/>
          <w:szCs w:val="22"/>
        </w:rPr>
        <w:t xml:space="preserve">Deposition </w:t>
      </w:r>
      <w:r w:rsidR="006F4CC7">
        <w:rPr>
          <w:rFonts w:ascii="Verdana" w:hAnsi="Verdana"/>
          <w:sz w:val="22"/>
          <w:szCs w:val="22"/>
        </w:rPr>
        <w:t>Appearance, June</w:t>
      </w:r>
      <w:r w:rsidR="00A92E37">
        <w:rPr>
          <w:rFonts w:ascii="Verdana" w:hAnsi="Verdana"/>
          <w:sz w:val="22"/>
          <w:szCs w:val="22"/>
        </w:rPr>
        <w:t xml:space="preserve"> 2012.  </w:t>
      </w:r>
      <w:r>
        <w:rPr>
          <w:rFonts w:ascii="Verdana" w:hAnsi="Verdana"/>
          <w:sz w:val="22"/>
          <w:szCs w:val="22"/>
        </w:rPr>
        <w:t>JPMorgan Chase Bank, N.A. was the Client.</w:t>
      </w:r>
    </w:p>
    <w:p w:rsidR="002B04FC" w:rsidRPr="00A92E37" w:rsidRDefault="00D67D41" w:rsidP="002B04FC">
      <w:pPr>
        <w:numPr>
          <w:ilvl w:val="0"/>
          <w:numId w:val="21"/>
        </w:numPr>
        <w:tabs>
          <w:tab w:val="clear" w:pos="1080"/>
        </w:tabs>
        <w:ind w:left="720"/>
        <w:jc w:val="both"/>
        <w:rPr>
          <w:rFonts w:ascii="Verdana" w:hAnsi="Verdana"/>
          <w:sz w:val="22"/>
          <w:u w:val="single"/>
        </w:rPr>
      </w:pPr>
      <w:proofErr w:type="spellStart"/>
      <w:r w:rsidRPr="00D67D41">
        <w:rPr>
          <w:rFonts w:ascii="Verdana" w:hAnsi="Verdana"/>
          <w:sz w:val="22"/>
          <w:szCs w:val="22"/>
        </w:rPr>
        <w:t>Andia</w:t>
      </w:r>
      <w:proofErr w:type="spellEnd"/>
      <w:r w:rsidRPr="00D67D41">
        <w:rPr>
          <w:rFonts w:ascii="Verdana" w:hAnsi="Verdana"/>
          <w:sz w:val="22"/>
          <w:szCs w:val="22"/>
        </w:rPr>
        <w:t xml:space="preserve"> Evans v. First Mount Vernon Industrial Loan Association, Inc., Sherman Brown, and Cohn, Goldberg &amp; Deutsch, LLC.  Expert Report, May 2012.  First Mount Vernon Industrial Loan Association, Inc. was the Client.</w:t>
      </w:r>
    </w:p>
    <w:p w:rsidR="00E47432" w:rsidRDefault="00E47432" w:rsidP="00E47432">
      <w:pPr>
        <w:pStyle w:val="ListParagraph"/>
        <w:numPr>
          <w:ilvl w:val="0"/>
          <w:numId w:val="21"/>
        </w:numPr>
        <w:tabs>
          <w:tab w:val="clear" w:pos="1080"/>
        </w:tabs>
        <w:ind w:left="720"/>
        <w:jc w:val="both"/>
        <w:rPr>
          <w:rFonts w:ascii="Verdana" w:hAnsi="Verdana"/>
          <w:sz w:val="22"/>
          <w:szCs w:val="22"/>
        </w:rPr>
      </w:pPr>
      <w:r w:rsidRPr="00E47432">
        <w:rPr>
          <w:rFonts w:ascii="Verdana" w:hAnsi="Verdana"/>
          <w:sz w:val="22"/>
          <w:szCs w:val="22"/>
        </w:rPr>
        <w:t xml:space="preserve">Federal Deposit Insurance Corporation as Receiver for </w:t>
      </w:r>
      <w:proofErr w:type="spellStart"/>
      <w:r w:rsidRPr="00E47432">
        <w:rPr>
          <w:rFonts w:ascii="Verdana" w:hAnsi="Verdana"/>
          <w:sz w:val="22"/>
          <w:szCs w:val="22"/>
        </w:rPr>
        <w:t>AmTrust</w:t>
      </w:r>
      <w:proofErr w:type="spellEnd"/>
      <w:r w:rsidRPr="00E47432">
        <w:rPr>
          <w:rFonts w:ascii="Verdana" w:hAnsi="Verdana"/>
          <w:sz w:val="22"/>
          <w:szCs w:val="22"/>
        </w:rPr>
        <w:t xml:space="preserve"> Bank v. First National Title Insurance Agency, LLC and Westcor Land Title Insurance Company.  </w:t>
      </w:r>
      <w:r>
        <w:rPr>
          <w:rFonts w:ascii="Verdana" w:hAnsi="Verdana"/>
          <w:sz w:val="22"/>
          <w:szCs w:val="22"/>
        </w:rPr>
        <w:t>Expert Report, July 2012.  The FDIC was the Client.</w:t>
      </w:r>
    </w:p>
    <w:p w:rsidR="00E32D7B" w:rsidRDefault="00E32D7B" w:rsidP="00767908">
      <w:pPr>
        <w:pStyle w:val="ListParagraph"/>
        <w:numPr>
          <w:ilvl w:val="0"/>
          <w:numId w:val="21"/>
        </w:numPr>
        <w:tabs>
          <w:tab w:val="clear" w:pos="1080"/>
          <w:tab w:val="num" w:pos="360"/>
        </w:tabs>
        <w:ind w:left="720"/>
        <w:jc w:val="both"/>
        <w:rPr>
          <w:rFonts w:ascii="Verdana" w:hAnsi="Verdana"/>
          <w:sz w:val="22"/>
          <w:szCs w:val="22"/>
        </w:rPr>
      </w:pPr>
      <w:r w:rsidRPr="00E32D7B">
        <w:rPr>
          <w:rFonts w:ascii="Verdana" w:hAnsi="Verdana"/>
          <w:sz w:val="22"/>
          <w:szCs w:val="22"/>
        </w:rPr>
        <w:t xml:space="preserve">Richard I. Hickey v. Select Portfolio Servicing, Inc. and JPMorgan Chase Bank, N.A.  </w:t>
      </w:r>
      <w:r>
        <w:rPr>
          <w:rFonts w:ascii="Verdana" w:hAnsi="Verdana"/>
          <w:sz w:val="22"/>
          <w:szCs w:val="22"/>
        </w:rPr>
        <w:t>Expert Report, November 2012.  Select Portfolio Servicing, Inc. and JPMorgan Chase Bank, N.A. were the Clients.</w:t>
      </w:r>
    </w:p>
    <w:p w:rsidR="00D67D41" w:rsidRPr="00EC381A" w:rsidRDefault="00000837" w:rsidP="00767908">
      <w:pPr>
        <w:pStyle w:val="ListParagraph"/>
        <w:numPr>
          <w:ilvl w:val="0"/>
          <w:numId w:val="21"/>
        </w:numPr>
        <w:tabs>
          <w:tab w:val="clear" w:pos="1080"/>
          <w:tab w:val="num" w:pos="360"/>
        </w:tabs>
        <w:ind w:left="720"/>
        <w:jc w:val="both"/>
        <w:rPr>
          <w:rFonts w:ascii="Verdana" w:hAnsi="Verdana"/>
          <w:sz w:val="22"/>
          <w:u w:val="single"/>
        </w:rPr>
      </w:pPr>
      <w:r w:rsidRPr="00000837">
        <w:rPr>
          <w:rFonts w:ascii="Verdana" w:hAnsi="Verdana"/>
          <w:sz w:val="22"/>
          <w:szCs w:val="22"/>
        </w:rPr>
        <w:t xml:space="preserve">Federal Deposit Insurance Corporation, as Receiver for </w:t>
      </w:r>
      <w:proofErr w:type="spellStart"/>
      <w:r w:rsidRPr="00000837">
        <w:rPr>
          <w:rFonts w:ascii="Verdana" w:hAnsi="Verdana"/>
          <w:sz w:val="22"/>
          <w:szCs w:val="22"/>
        </w:rPr>
        <w:t>BankFirst</w:t>
      </w:r>
      <w:proofErr w:type="spellEnd"/>
      <w:r w:rsidRPr="00000837">
        <w:rPr>
          <w:rFonts w:ascii="Verdana" w:hAnsi="Verdana"/>
          <w:sz w:val="22"/>
          <w:szCs w:val="22"/>
        </w:rPr>
        <w:t xml:space="preserve"> v. Bob D. Hutchins, North Georgia Real Estate Appraisers, Inc., Shirley R. Gore, and Appraisal Services.  </w:t>
      </w:r>
      <w:r>
        <w:rPr>
          <w:rFonts w:ascii="Verdana" w:hAnsi="Verdana"/>
          <w:sz w:val="22"/>
          <w:szCs w:val="22"/>
        </w:rPr>
        <w:t xml:space="preserve">Expert Report, December 2012. </w:t>
      </w:r>
      <w:r w:rsidR="006F4CC7">
        <w:rPr>
          <w:rFonts w:ascii="Verdana" w:hAnsi="Verdana"/>
          <w:sz w:val="22"/>
          <w:szCs w:val="22"/>
        </w:rPr>
        <w:t xml:space="preserve"> Deposition Appearance, January 2013.  </w:t>
      </w:r>
      <w:r>
        <w:rPr>
          <w:rFonts w:ascii="Verdana" w:hAnsi="Verdana"/>
          <w:sz w:val="22"/>
          <w:szCs w:val="22"/>
        </w:rPr>
        <w:t>The FDIC was the Client.</w:t>
      </w:r>
    </w:p>
    <w:p w:rsidR="00712B4E" w:rsidRPr="00712B4E" w:rsidRDefault="00EC381A" w:rsidP="00767908">
      <w:pPr>
        <w:pStyle w:val="ListParagraph"/>
        <w:numPr>
          <w:ilvl w:val="0"/>
          <w:numId w:val="21"/>
        </w:numPr>
        <w:tabs>
          <w:tab w:val="clear" w:pos="1080"/>
          <w:tab w:val="num" w:pos="360"/>
        </w:tabs>
        <w:ind w:left="720"/>
        <w:jc w:val="both"/>
        <w:rPr>
          <w:rFonts w:ascii="Verdana" w:hAnsi="Verdana"/>
          <w:sz w:val="22"/>
          <w:u w:val="single"/>
        </w:rPr>
      </w:pPr>
      <w:r>
        <w:rPr>
          <w:rFonts w:ascii="Verdana" w:hAnsi="Verdana"/>
          <w:sz w:val="22"/>
          <w:szCs w:val="22"/>
        </w:rPr>
        <w:t xml:space="preserve">Cobalt Aviation II, LLC and Cobalt Aviation III, LLC v. Herbert M. </w:t>
      </w:r>
      <w:proofErr w:type="spellStart"/>
      <w:r>
        <w:rPr>
          <w:rFonts w:ascii="Verdana" w:hAnsi="Verdana"/>
          <w:sz w:val="22"/>
          <w:szCs w:val="22"/>
        </w:rPr>
        <w:t>Hortman</w:t>
      </w:r>
      <w:proofErr w:type="spellEnd"/>
      <w:r>
        <w:rPr>
          <w:rFonts w:ascii="Verdana" w:hAnsi="Verdana"/>
          <w:sz w:val="22"/>
          <w:szCs w:val="22"/>
        </w:rPr>
        <w:t xml:space="preserve">, Jr., </w:t>
      </w:r>
      <w:proofErr w:type="spellStart"/>
      <w:r>
        <w:rPr>
          <w:rFonts w:ascii="Verdana" w:hAnsi="Verdana"/>
          <w:sz w:val="22"/>
          <w:szCs w:val="22"/>
        </w:rPr>
        <w:t>Hortmont</w:t>
      </w:r>
      <w:proofErr w:type="spellEnd"/>
      <w:r>
        <w:rPr>
          <w:rFonts w:ascii="Verdana" w:hAnsi="Verdana"/>
          <w:sz w:val="22"/>
          <w:szCs w:val="22"/>
        </w:rPr>
        <w:t xml:space="preserve"> Aviation Services, Inc., </w:t>
      </w:r>
      <w:proofErr w:type="spellStart"/>
      <w:r>
        <w:rPr>
          <w:rFonts w:ascii="Verdana" w:hAnsi="Verdana"/>
          <w:sz w:val="22"/>
          <w:szCs w:val="22"/>
        </w:rPr>
        <w:t>Hortman</w:t>
      </w:r>
      <w:proofErr w:type="spellEnd"/>
      <w:r>
        <w:rPr>
          <w:rFonts w:ascii="Verdana" w:hAnsi="Verdana"/>
          <w:sz w:val="22"/>
          <w:szCs w:val="22"/>
        </w:rPr>
        <w:t xml:space="preserve"> Aviation Services, Inc., </w:t>
      </w:r>
      <w:proofErr w:type="spellStart"/>
      <w:r>
        <w:rPr>
          <w:rFonts w:ascii="Verdana" w:hAnsi="Verdana"/>
          <w:sz w:val="22"/>
          <w:szCs w:val="22"/>
        </w:rPr>
        <w:t>Hortman</w:t>
      </w:r>
      <w:proofErr w:type="spellEnd"/>
      <w:r>
        <w:rPr>
          <w:rFonts w:ascii="Verdana" w:hAnsi="Verdana"/>
          <w:sz w:val="22"/>
          <w:szCs w:val="22"/>
        </w:rPr>
        <w:t xml:space="preserve"> Aviation, Inc., </w:t>
      </w:r>
      <w:proofErr w:type="spellStart"/>
      <w:r>
        <w:rPr>
          <w:rFonts w:ascii="Verdana" w:hAnsi="Verdana"/>
          <w:sz w:val="22"/>
          <w:szCs w:val="22"/>
        </w:rPr>
        <w:t>Hortman</w:t>
      </w:r>
      <w:proofErr w:type="spellEnd"/>
      <w:r>
        <w:rPr>
          <w:rFonts w:ascii="Verdana" w:hAnsi="Verdana"/>
          <w:sz w:val="22"/>
          <w:szCs w:val="22"/>
        </w:rPr>
        <w:t xml:space="preserve"> Enterprises, Inc., Signature Flight Support Corp., Peter J. </w:t>
      </w:r>
      <w:proofErr w:type="spellStart"/>
      <w:r>
        <w:rPr>
          <w:rFonts w:ascii="Verdana" w:hAnsi="Verdana"/>
          <w:sz w:val="22"/>
          <w:szCs w:val="22"/>
        </w:rPr>
        <w:t>McBreen</w:t>
      </w:r>
      <w:proofErr w:type="spellEnd"/>
      <w:r>
        <w:rPr>
          <w:rFonts w:ascii="Verdana" w:hAnsi="Verdana"/>
          <w:sz w:val="22"/>
          <w:szCs w:val="22"/>
        </w:rPr>
        <w:t xml:space="preserve"> &amp; Associates, Inc., Citizens Bank of Pennsylvania, JPMorgan Chase &amp; Co., and Global Aerospace, Inc.  Expert Report, January 2013.  Citizens Bank of Pennsylvania and JPMorgan Chase &amp; Co. were the Clients. </w:t>
      </w:r>
    </w:p>
    <w:p w:rsidR="00EC381A" w:rsidRPr="00767908" w:rsidRDefault="00712B4E" w:rsidP="00767908">
      <w:pPr>
        <w:pStyle w:val="ListParagraph"/>
        <w:numPr>
          <w:ilvl w:val="0"/>
          <w:numId w:val="21"/>
        </w:numPr>
        <w:tabs>
          <w:tab w:val="clear" w:pos="1080"/>
          <w:tab w:val="num" w:pos="360"/>
        </w:tabs>
        <w:ind w:left="720"/>
        <w:jc w:val="both"/>
        <w:rPr>
          <w:rFonts w:ascii="Verdana" w:hAnsi="Verdana"/>
          <w:sz w:val="22"/>
          <w:u w:val="single"/>
        </w:rPr>
      </w:pPr>
      <w:r>
        <w:rPr>
          <w:rFonts w:ascii="Verdana" w:hAnsi="Verdana"/>
          <w:sz w:val="22"/>
          <w:szCs w:val="22"/>
        </w:rPr>
        <w:t>Nancy Falls, Individually and as Administrator of the Estate of Roscoe Falls, Dean Falls, and Willard Falls v. JPMorgan Chase Bank, N.A. and Jack Skidmore.  Trial Testimony, March 2013.  JPMorgan Chase Bank, N.A. was the Client.</w:t>
      </w:r>
    </w:p>
    <w:p w:rsidR="008B46FD" w:rsidRPr="008B46FD" w:rsidRDefault="00767908" w:rsidP="00767908">
      <w:pPr>
        <w:pStyle w:val="ListParagraph"/>
        <w:numPr>
          <w:ilvl w:val="0"/>
          <w:numId w:val="21"/>
        </w:numPr>
        <w:tabs>
          <w:tab w:val="clear" w:pos="1080"/>
          <w:tab w:val="num" w:pos="720"/>
        </w:tabs>
        <w:ind w:left="720"/>
        <w:jc w:val="both"/>
        <w:rPr>
          <w:rFonts w:ascii="Verdana" w:hAnsi="Verdana"/>
          <w:sz w:val="22"/>
          <w:szCs w:val="22"/>
          <w:u w:val="single"/>
        </w:rPr>
      </w:pPr>
      <w:r w:rsidRPr="00767908">
        <w:rPr>
          <w:rFonts w:ascii="Verdana" w:hAnsi="Verdana"/>
          <w:sz w:val="22"/>
          <w:szCs w:val="22"/>
        </w:rPr>
        <w:t xml:space="preserve">Federal Deposit Insurance Corporation, as Receiver for </w:t>
      </w:r>
      <w:proofErr w:type="spellStart"/>
      <w:r w:rsidRPr="00767908">
        <w:rPr>
          <w:rFonts w:ascii="Verdana" w:hAnsi="Verdana"/>
          <w:sz w:val="22"/>
          <w:szCs w:val="22"/>
        </w:rPr>
        <w:t>AmTrust</w:t>
      </w:r>
      <w:proofErr w:type="spellEnd"/>
      <w:r w:rsidRPr="00767908">
        <w:rPr>
          <w:rFonts w:ascii="Verdana" w:hAnsi="Verdana"/>
          <w:sz w:val="22"/>
          <w:szCs w:val="22"/>
        </w:rPr>
        <w:t xml:space="preserve"> Bank v. Escrow and Title Services, Inc., d/b/a Bell Title Agency.  Expert Report, June 2013.  The FDIC was the Client.</w:t>
      </w:r>
    </w:p>
    <w:p w:rsidR="00767908" w:rsidRPr="00BF4229" w:rsidRDefault="008B46FD" w:rsidP="00767908">
      <w:pPr>
        <w:pStyle w:val="ListParagraph"/>
        <w:numPr>
          <w:ilvl w:val="0"/>
          <w:numId w:val="21"/>
        </w:numPr>
        <w:tabs>
          <w:tab w:val="clear" w:pos="1080"/>
          <w:tab w:val="num" w:pos="720"/>
        </w:tabs>
        <w:ind w:left="720"/>
        <w:jc w:val="both"/>
        <w:rPr>
          <w:rFonts w:ascii="Verdana" w:hAnsi="Verdana"/>
          <w:sz w:val="22"/>
          <w:szCs w:val="22"/>
          <w:u w:val="single"/>
        </w:rPr>
      </w:pPr>
      <w:r w:rsidRPr="00746131">
        <w:rPr>
          <w:rFonts w:ascii="Verdana" w:hAnsi="Verdana"/>
          <w:sz w:val="22"/>
          <w:szCs w:val="22"/>
        </w:rPr>
        <w:t>FIA Card Services, N.A.,</w:t>
      </w:r>
      <w:r w:rsidRPr="008B46FD">
        <w:rPr>
          <w:rFonts w:ascii="Verdana" w:hAnsi="Verdana"/>
          <w:sz w:val="22"/>
          <w:szCs w:val="22"/>
        </w:rPr>
        <w:t xml:space="preserve"> Plaintiff/Counterclaim Defendant v. Stephen W. Snuffer, D</w:t>
      </w:r>
      <w:r>
        <w:rPr>
          <w:rFonts w:ascii="Verdana" w:hAnsi="Verdana"/>
          <w:sz w:val="22"/>
          <w:szCs w:val="22"/>
        </w:rPr>
        <w:t>efendant/Counterclaim Plaintiff.  Affidavit, August 2013.  FIA Card Services, N.A. was the Client.</w:t>
      </w:r>
    </w:p>
    <w:p w:rsidR="00BF4229" w:rsidRPr="00EB3BC3" w:rsidRDefault="00BF4229" w:rsidP="00BF4229">
      <w:pPr>
        <w:pStyle w:val="ListParagraph"/>
        <w:numPr>
          <w:ilvl w:val="0"/>
          <w:numId w:val="21"/>
        </w:numPr>
        <w:tabs>
          <w:tab w:val="clear" w:pos="1080"/>
        </w:tabs>
        <w:ind w:left="720"/>
        <w:jc w:val="both"/>
        <w:rPr>
          <w:rFonts w:ascii="Verdana" w:hAnsi="Verdana"/>
          <w:sz w:val="22"/>
          <w:szCs w:val="22"/>
          <w:u w:val="single"/>
        </w:rPr>
      </w:pPr>
      <w:r w:rsidRPr="00BF4229">
        <w:rPr>
          <w:rFonts w:ascii="Verdana" w:hAnsi="Verdana"/>
          <w:sz w:val="22"/>
          <w:szCs w:val="22"/>
        </w:rPr>
        <w:t>U.S. Bank National Association, As Trustee, on behalf of the Holders of the Asset Backed Securities Corporation Home Equity Loan Trust, Series AMQ 2006-HE7 Asset Backed Pass Through Certificate</w:t>
      </w:r>
      <w:r>
        <w:rPr>
          <w:rFonts w:ascii="Verdana" w:hAnsi="Verdana"/>
          <w:sz w:val="22"/>
          <w:szCs w:val="22"/>
        </w:rPr>
        <w:t>s, Series AMQ-2006-HE7 v. Roby P. Jose, Mrs. Roby P</w:t>
      </w:r>
      <w:r w:rsidRPr="00BF4229">
        <w:rPr>
          <w:rFonts w:ascii="Verdana" w:hAnsi="Verdana"/>
          <w:sz w:val="22"/>
          <w:szCs w:val="22"/>
        </w:rPr>
        <w:t xml:space="preserve">. Jose, and Argent Mortgage Company, LLC.  </w:t>
      </w:r>
      <w:r>
        <w:rPr>
          <w:rFonts w:ascii="Verdana" w:hAnsi="Verdana"/>
          <w:sz w:val="22"/>
          <w:szCs w:val="22"/>
        </w:rPr>
        <w:t xml:space="preserve">Expert Report, November 2013.  </w:t>
      </w:r>
      <w:r w:rsidR="00774497">
        <w:rPr>
          <w:rFonts w:ascii="Verdana" w:hAnsi="Verdana"/>
          <w:sz w:val="22"/>
          <w:szCs w:val="22"/>
        </w:rPr>
        <w:t xml:space="preserve">Rebuttal of Defendants’ Expert Report, January 2014.  </w:t>
      </w:r>
      <w:r>
        <w:rPr>
          <w:rFonts w:ascii="Verdana" w:hAnsi="Verdana"/>
          <w:sz w:val="22"/>
          <w:szCs w:val="22"/>
        </w:rPr>
        <w:t>Select Portfolio Servicing, Inc. was the Client.</w:t>
      </w:r>
    </w:p>
    <w:p w:rsidR="00EB3BC3" w:rsidRPr="003B7868" w:rsidRDefault="00EB3BC3" w:rsidP="00EB3BC3">
      <w:pPr>
        <w:pStyle w:val="ListParagraph"/>
        <w:numPr>
          <w:ilvl w:val="0"/>
          <w:numId w:val="21"/>
        </w:numPr>
        <w:tabs>
          <w:tab w:val="clear" w:pos="1080"/>
          <w:tab w:val="num" w:pos="720"/>
        </w:tabs>
        <w:ind w:left="720"/>
        <w:jc w:val="both"/>
        <w:rPr>
          <w:rFonts w:ascii="Verdana" w:hAnsi="Verdana"/>
          <w:sz w:val="22"/>
          <w:szCs w:val="22"/>
          <w:u w:val="single"/>
        </w:rPr>
      </w:pPr>
      <w:r w:rsidRPr="00EB3BC3">
        <w:rPr>
          <w:rFonts w:ascii="Verdana" w:hAnsi="Verdana"/>
          <w:sz w:val="22"/>
          <w:szCs w:val="22"/>
        </w:rPr>
        <w:lastRenderedPageBreak/>
        <w:t xml:space="preserve">Maurice Jennings v. Experian Information Solutions, Inc.  </w:t>
      </w:r>
      <w:r>
        <w:rPr>
          <w:rFonts w:ascii="Verdana" w:hAnsi="Verdana"/>
          <w:sz w:val="22"/>
          <w:szCs w:val="22"/>
        </w:rPr>
        <w:t>Case Analysis, April 2014.  Experian Information Solutions, Inc. was the Client.</w:t>
      </w:r>
    </w:p>
    <w:p w:rsidR="003B7868" w:rsidRPr="003B7868" w:rsidRDefault="003B7868" w:rsidP="00EB3BC3">
      <w:pPr>
        <w:pStyle w:val="ListParagraph"/>
        <w:numPr>
          <w:ilvl w:val="0"/>
          <w:numId w:val="21"/>
        </w:numPr>
        <w:tabs>
          <w:tab w:val="clear" w:pos="1080"/>
          <w:tab w:val="num" w:pos="720"/>
        </w:tabs>
        <w:ind w:left="720"/>
        <w:jc w:val="both"/>
        <w:rPr>
          <w:rFonts w:ascii="Verdana" w:hAnsi="Verdana"/>
          <w:sz w:val="22"/>
          <w:szCs w:val="22"/>
          <w:u w:val="single"/>
        </w:rPr>
      </w:pPr>
      <w:r w:rsidRPr="003B7868">
        <w:rPr>
          <w:rFonts w:ascii="Verdana" w:hAnsi="Verdana"/>
          <w:sz w:val="22"/>
          <w:szCs w:val="22"/>
        </w:rPr>
        <w:t>Ernest K. Bateson v. ABN AMRO Mortgage Group, Inc.</w:t>
      </w:r>
      <w:r w:rsidR="0053204A">
        <w:rPr>
          <w:rFonts w:ascii="Verdana" w:hAnsi="Verdana"/>
          <w:sz w:val="22"/>
          <w:szCs w:val="22"/>
        </w:rPr>
        <w:t xml:space="preserve">  Expert Report, April </w:t>
      </w:r>
      <w:r w:rsidR="00496F64">
        <w:rPr>
          <w:rFonts w:ascii="Verdana" w:hAnsi="Verdana"/>
          <w:sz w:val="22"/>
          <w:szCs w:val="22"/>
        </w:rPr>
        <w:t xml:space="preserve">2014. Testimony at Arbitration Hearing, December 2014. </w:t>
      </w:r>
      <w:r>
        <w:rPr>
          <w:rFonts w:ascii="Verdana" w:hAnsi="Verdana"/>
          <w:sz w:val="22"/>
          <w:szCs w:val="22"/>
        </w:rPr>
        <w:t xml:space="preserve">ABN AMRO Mortgage Group, Inc. was the Client.  </w:t>
      </w:r>
    </w:p>
    <w:p w:rsidR="0039090B" w:rsidRPr="0039090B" w:rsidRDefault="00EB3BC3" w:rsidP="00EB3BC3">
      <w:pPr>
        <w:pStyle w:val="ListParagraph"/>
        <w:numPr>
          <w:ilvl w:val="0"/>
          <w:numId w:val="21"/>
        </w:numPr>
        <w:tabs>
          <w:tab w:val="clear" w:pos="1080"/>
        </w:tabs>
        <w:ind w:left="720"/>
        <w:jc w:val="both"/>
        <w:rPr>
          <w:rFonts w:ascii="Verdana" w:hAnsi="Verdana"/>
          <w:sz w:val="22"/>
          <w:szCs w:val="22"/>
          <w:u w:val="single"/>
        </w:rPr>
      </w:pPr>
      <w:r w:rsidRPr="00EB3BC3">
        <w:rPr>
          <w:rFonts w:ascii="Verdana" w:hAnsi="Verdana"/>
          <w:sz w:val="22"/>
          <w:szCs w:val="22"/>
        </w:rPr>
        <w:t xml:space="preserve">Jerry </w:t>
      </w:r>
      <w:proofErr w:type="spellStart"/>
      <w:r w:rsidRPr="00EB3BC3">
        <w:rPr>
          <w:rFonts w:ascii="Verdana" w:hAnsi="Verdana"/>
          <w:sz w:val="22"/>
          <w:szCs w:val="22"/>
        </w:rPr>
        <w:t>Adame</w:t>
      </w:r>
      <w:proofErr w:type="spellEnd"/>
      <w:r w:rsidRPr="00EB3BC3">
        <w:rPr>
          <w:rFonts w:ascii="Verdana" w:hAnsi="Verdana"/>
          <w:sz w:val="22"/>
          <w:szCs w:val="22"/>
        </w:rPr>
        <w:t xml:space="preserve"> and Annette </w:t>
      </w:r>
      <w:proofErr w:type="spellStart"/>
      <w:r w:rsidRPr="00EB3BC3">
        <w:rPr>
          <w:rFonts w:ascii="Verdana" w:hAnsi="Verdana"/>
          <w:sz w:val="22"/>
          <w:szCs w:val="22"/>
        </w:rPr>
        <w:t>Adame</w:t>
      </w:r>
      <w:proofErr w:type="spellEnd"/>
      <w:r w:rsidRPr="00EB3BC3">
        <w:rPr>
          <w:rFonts w:ascii="Verdana" w:hAnsi="Verdana"/>
          <w:sz w:val="22"/>
          <w:szCs w:val="22"/>
        </w:rPr>
        <w:t xml:space="preserve"> v. Capital Funding, LLC, Countrywide Homes Loans, Inc., Bank of America, N.A., and The Bank of New York Mellon.  Case Analysis, April 2014.  Select Portfolio Servicing, Inc. was the Client. </w:t>
      </w:r>
    </w:p>
    <w:p w:rsidR="00491E93" w:rsidRPr="001B5160" w:rsidRDefault="00491E93" w:rsidP="00EB3BC3">
      <w:pPr>
        <w:pStyle w:val="ListParagraph"/>
        <w:numPr>
          <w:ilvl w:val="0"/>
          <w:numId w:val="21"/>
        </w:numPr>
        <w:tabs>
          <w:tab w:val="clear" w:pos="1080"/>
        </w:tabs>
        <w:ind w:left="720"/>
        <w:jc w:val="both"/>
        <w:rPr>
          <w:rFonts w:ascii="Verdana" w:hAnsi="Verdana"/>
          <w:sz w:val="22"/>
          <w:szCs w:val="22"/>
          <w:u w:val="single"/>
        </w:rPr>
      </w:pPr>
      <w:r>
        <w:rPr>
          <w:rFonts w:ascii="Verdana" w:hAnsi="Verdana"/>
          <w:sz w:val="22"/>
          <w:szCs w:val="22"/>
        </w:rPr>
        <w:t>American Bank</w:t>
      </w:r>
      <w:r w:rsidR="00304B02">
        <w:rPr>
          <w:rFonts w:ascii="Verdana" w:hAnsi="Verdana"/>
          <w:sz w:val="22"/>
          <w:szCs w:val="22"/>
        </w:rPr>
        <w:t>, FSB</w:t>
      </w:r>
      <w:r>
        <w:rPr>
          <w:rFonts w:ascii="Verdana" w:hAnsi="Verdana"/>
          <w:sz w:val="22"/>
          <w:szCs w:val="22"/>
        </w:rPr>
        <w:t xml:space="preserve"> v. </w:t>
      </w:r>
      <w:r w:rsidR="00304B02">
        <w:rPr>
          <w:rFonts w:ascii="Verdana" w:hAnsi="Verdana"/>
          <w:sz w:val="22"/>
          <w:szCs w:val="22"/>
        </w:rPr>
        <w:t>Monument Bank.  Deposition Appearance, August 2014.</w:t>
      </w:r>
      <w:r w:rsidR="00304B02" w:rsidRPr="00304B02">
        <w:rPr>
          <w:rFonts w:ascii="Verdana" w:hAnsi="Verdana"/>
          <w:sz w:val="22"/>
          <w:szCs w:val="22"/>
        </w:rPr>
        <w:t xml:space="preserve"> </w:t>
      </w:r>
      <w:r w:rsidR="00064824">
        <w:rPr>
          <w:rFonts w:ascii="Verdana" w:hAnsi="Verdana"/>
          <w:sz w:val="22"/>
          <w:szCs w:val="22"/>
        </w:rPr>
        <w:t xml:space="preserve"> American Bank wa</w:t>
      </w:r>
      <w:r w:rsidR="00304B02">
        <w:rPr>
          <w:rFonts w:ascii="Verdana" w:hAnsi="Verdana"/>
          <w:sz w:val="22"/>
          <w:szCs w:val="22"/>
        </w:rPr>
        <w:t xml:space="preserve">s the Client.  </w:t>
      </w:r>
    </w:p>
    <w:p w:rsidR="001B5160" w:rsidRPr="001B5160" w:rsidRDefault="001B5160" w:rsidP="00EB3BC3">
      <w:pPr>
        <w:pStyle w:val="ListParagraph"/>
        <w:numPr>
          <w:ilvl w:val="0"/>
          <w:numId w:val="21"/>
        </w:numPr>
        <w:tabs>
          <w:tab w:val="clear" w:pos="1080"/>
        </w:tabs>
        <w:ind w:left="720"/>
        <w:jc w:val="both"/>
        <w:rPr>
          <w:rFonts w:ascii="Verdana" w:hAnsi="Verdana"/>
          <w:sz w:val="22"/>
          <w:szCs w:val="22"/>
          <w:u w:val="single"/>
        </w:rPr>
      </w:pPr>
      <w:proofErr w:type="spellStart"/>
      <w:r>
        <w:rPr>
          <w:rFonts w:ascii="Verdana" w:hAnsi="Verdana"/>
          <w:sz w:val="22"/>
          <w:szCs w:val="22"/>
        </w:rPr>
        <w:t>Cordoza</w:t>
      </w:r>
      <w:proofErr w:type="spellEnd"/>
      <w:r>
        <w:rPr>
          <w:rFonts w:ascii="Verdana" w:hAnsi="Verdana"/>
          <w:sz w:val="22"/>
          <w:szCs w:val="22"/>
        </w:rPr>
        <w:t xml:space="preserve"> Jacks Funeral Home v. Citizens Bank of Pennsyl</w:t>
      </w:r>
      <w:r w:rsidR="00064824">
        <w:rPr>
          <w:rFonts w:ascii="Verdana" w:hAnsi="Verdana"/>
          <w:sz w:val="22"/>
          <w:szCs w:val="22"/>
        </w:rPr>
        <w:t>vania. Expert Report, August 201</w:t>
      </w:r>
      <w:r>
        <w:rPr>
          <w:rFonts w:ascii="Verdana" w:hAnsi="Verdana"/>
          <w:sz w:val="22"/>
          <w:szCs w:val="22"/>
        </w:rPr>
        <w:t xml:space="preserve">4.  The Defendant was the Client.  </w:t>
      </w:r>
    </w:p>
    <w:p w:rsidR="001B5160" w:rsidRPr="00005BB8" w:rsidRDefault="00005BB8" w:rsidP="00EB3BC3">
      <w:pPr>
        <w:pStyle w:val="ListParagraph"/>
        <w:numPr>
          <w:ilvl w:val="0"/>
          <w:numId w:val="21"/>
        </w:numPr>
        <w:tabs>
          <w:tab w:val="clear" w:pos="1080"/>
        </w:tabs>
        <w:ind w:left="720"/>
        <w:jc w:val="both"/>
        <w:rPr>
          <w:rFonts w:ascii="Verdana" w:hAnsi="Verdana"/>
          <w:sz w:val="22"/>
          <w:szCs w:val="22"/>
        </w:rPr>
      </w:pPr>
      <w:proofErr w:type="spellStart"/>
      <w:r w:rsidRPr="00005BB8">
        <w:rPr>
          <w:rFonts w:ascii="Verdana" w:hAnsi="Verdana"/>
          <w:sz w:val="22"/>
          <w:szCs w:val="22"/>
        </w:rPr>
        <w:t>Andris</w:t>
      </w:r>
      <w:proofErr w:type="spellEnd"/>
      <w:r w:rsidRPr="00005BB8">
        <w:rPr>
          <w:rFonts w:ascii="Verdana" w:hAnsi="Verdana"/>
          <w:sz w:val="22"/>
          <w:szCs w:val="22"/>
        </w:rPr>
        <w:t xml:space="preserve"> </w:t>
      </w:r>
      <w:proofErr w:type="spellStart"/>
      <w:r w:rsidRPr="00005BB8">
        <w:rPr>
          <w:rFonts w:ascii="Verdana" w:hAnsi="Verdana"/>
          <w:sz w:val="22"/>
          <w:szCs w:val="22"/>
        </w:rPr>
        <w:t>Johansons</w:t>
      </w:r>
      <w:proofErr w:type="spellEnd"/>
      <w:r w:rsidRPr="00005BB8">
        <w:rPr>
          <w:rFonts w:ascii="Verdana" w:hAnsi="Verdana"/>
          <w:sz w:val="22"/>
          <w:szCs w:val="22"/>
        </w:rPr>
        <w:t xml:space="preserve"> and Rita </w:t>
      </w:r>
      <w:proofErr w:type="spellStart"/>
      <w:r w:rsidRPr="00005BB8">
        <w:rPr>
          <w:rFonts w:ascii="Verdana" w:hAnsi="Verdana"/>
          <w:sz w:val="22"/>
          <w:szCs w:val="22"/>
        </w:rPr>
        <w:t>Johansons</w:t>
      </w:r>
      <w:proofErr w:type="spellEnd"/>
      <w:r w:rsidRPr="00005BB8">
        <w:rPr>
          <w:rFonts w:ascii="Verdana" w:hAnsi="Verdana"/>
          <w:sz w:val="22"/>
          <w:szCs w:val="22"/>
        </w:rPr>
        <w:t xml:space="preserve"> v. JPMorgan Chase &amp; Co. </w:t>
      </w:r>
      <w:r>
        <w:rPr>
          <w:rFonts w:ascii="Verdana" w:hAnsi="Verdana"/>
          <w:sz w:val="22"/>
          <w:szCs w:val="22"/>
        </w:rPr>
        <w:t xml:space="preserve"> Expert Report, September 2014.  JPMorgan Chase &amp; Co. was the Client.</w:t>
      </w:r>
      <w:r w:rsidRPr="00005BB8">
        <w:rPr>
          <w:rFonts w:ascii="Verdana" w:hAnsi="Verdana"/>
          <w:sz w:val="22"/>
          <w:szCs w:val="22"/>
        </w:rPr>
        <w:t xml:space="preserve"> </w:t>
      </w:r>
    </w:p>
    <w:p w:rsidR="00DA00C8" w:rsidRPr="00DA00C8" w:rsidRDefault="001B5160" w:rsidP="00005BB8">
      <w:pPr>
        <w:pStyle w:val="ListParagraph"/>
        <w:numPr>
          <w:ilvl w:val="0"/>
          <w:numId w:val="21"/>
        </w:numPr>
        <w:tabs>
          <w:tab w:val="clear" w:pos="1080"/>
        </w:tabs>
        <w:ind w:left="720"/>
        <w:jc w:val="both"/>
        <w:rPr>
          <w:rFonts w:ascii="Verdana" w:hAnsi="Verdana"/>
          <w:sz w:val="22"/>
          <w:szCs w:val="22"/>
          <w:u w:val="single"/>
        </w:rPr>
      </w:pPr>
      <w:r w:rsidRPr="001B5160">
        <w:rPr>
          <w:rFonts w:ascii="Verdana" w:hAnsi="Verdana"/>
          <w:sz w:val="22"/>
          <w:szCs w:val="22"/>
        </w:rPr>
        <w:t xml:space="preserve">The Bank of New York Mellon as Trustee for IMC Home Equity Loan Trust 1998-1, Plaintiff v. Sandra Shepherd, Defendant/Counterclaimant. </w:t>
      </w:r>
      <w:r>
        <w:rPr>
          <w:rFonts w:ascii="Verdana" w:hAnsi="Verdana"/>
          <w:sz w:val="22"/>
          <w:szCs w:val="22"/>
        </w:rPr>
        <w:t xml:space="preserve"> Expert Report, October 2014.  The Plaintiff was the Client. </w:t>
      </w:r>
    </w:p>
    <w:p w:rsidR="00000837" w:rsidRPr="00DA00C8" w:rsidRDefault="00DA00C8" w:rsidP="00DA00C8">
      <w:pPr>
        <w:pStyle w:val="ListParagraph"/>
        <w:numPr>
          <w:ilvl w:val="0"/>
          <w:numId w:val="21"/>
        </w:numPr>
        <w:tabs>
          <w:tab w:val="clear" w:pos="1080"/>
        </w:tabs>
        <w:ind w:left="720"/>
        <w:jc w:val="both"/>
        <w:rPr>
          <w:rFonts w:ascii="Verdana" w:hAnsi="Verdana"/>
          <w:sz w:val="22"/>
          <w:szCs w:val="22"/>
        </w:rPr>
      </w:pPr>
      <w:r w:rsidRPr="00DA00C8">
        <w:rPr>
          <w:rFonts w:ascii="Verdana" w:hAnsi="Verdana"/>
          <w:sz w:val="22"/>
          <w:szCs w:val="22"/>
        </w:rPr>
        <w:t xml:space="preserve">The Federal Deposit Insurance Company in its capacity as Receiver for </w:t>
      </w:r>
      <w:proofErr w:type="spellStart"/>
      <w:r w:rsidRPr="00DA00C8">
        <w:rPr>
          <w:rFonts w:ascii="Verdana" w:hAnsi="Verdana"/>
          <w:sz w:val="22"/>
          <w:szCs w:val="22"/>
        </w:rPr>
        <w:t>AmTrust</w:t>
      </w:r>
      <w:proofErr w:type="spellEnd"/>
      <w:r w:rsidRPr="00DA00C8">
        <w:rPr>
          <w:rFonts w:ascii="Verdana" w:hAnsi="Verdana"/>
          <w:sz w:val="22"/>
          <w:szCs w:val="22"/>
        </w:rPr>
        <w:t xml:space="preserve"> Bank v. U. S. Titles, Inc. and First American Title Insurance Company. </w:t>
      </w:r>
      <w:r w:rsidR="001B5160" w:rsidRPr="00DA00C8">
        <w:rPr>
          <w:rFonts w:ascii="Verdana" w:hAnsi="Verdana"/>
          <w:sz w:val="22"/>
          <w:szCs w:val="22"/>
        </w:rPr>
        <w:t xml:space="preserve"> </w:t>
      </w:r>
      <w:r w:rsidRPr="00DA00C8">
        <w:rPr>
          <w:rFonts w:ascii="Verdana" w:hAnsi="Verdana"/>
          <w:sz w:val="22"/>
          <w:szCs w:val="22"/>
        </w:rPr>
        <w:t xml:space="preserve">Expert Report, December 2014.  </w:t>
      </w:r>
      <w:r w:rsidR="002626EB">
        <w:rPr>
          <w:rFonts w:ascii="Verdana" w:hAnsi="Verdana"/>
          <w:sz w:val="22"/>
          <w:szCs w:val="22"/>
        </w:rPr>
        <w:t xml:space="preserve">Deposition Appearance, February 2015.  </w:t>
      </w:r>
      <w:r w:rsidRPr="00DA00C8">
        <w:rPr>
          <w:rFonts w:ascii="Verdana" w:hAnsi="Verdana"/>
          <w:sz w:val="22"/>
          <w:szCs w:val="22"/>
        </w:rPr>
        <w:t>The FDIC was the Client.</w:t>
      </w:r>
    </w:p>
    <w:p w:rsidR="00525FB2" w:rsidRPr="00525FB2" w:rsidRDefault="00525FB2" w:rsidP="00525FB2">
      <w:pPr>
        <w:pStyle w:val="ListParagraph"/>
        <w:numPr>
          <w:ilvl w:val="0"/>
          <w:numId w:val="21"/>
        </w:numPr>
        <w:tabs>
          <w:tab w:val="clear" w:pos="1080"/>
          <w:tab w:val="num" w:pos="720"/>
        </w:tabs>
        <w:ind w:left="720"/>
        <w:jc w:val="both"/>
        <w:rPr>
          <w:rFonts w:ascii="Verdana" w:hAnsi="Verdana"/>
          <w:sz w:val="22"/>
          <w:szCs w:val="22"/>
        </w:rPr>
      </w:pPr>
      <w:r w:rsidRPr="00525FB2">
        <w:rPr>
          <w:rFonts w:ascii="Verdana" w:hAnsi="Verdana"/>
          <w:sz w:val="22"/>
          <w:szCs w:val="22"/>
        </w:rPr>
        <w:t xml:space="preserve">Trademark Properties of Michigan, LLC, Plaintiff/Counter-Defendant v. PNC Bank, N.A. and Bank of America, N.A, Defendants.  PNC Bank, N.A. Counter-Plaintiff v. Trademark Properties of Michigan, Counter-Defendant.  </w:t>
      </w:r>
      <w:r>
        <w:rPr>
          <w:rFonts w:ascii="Verdana" w:hAnsi="Verdana"/>
          <w:sz w:val="22"/>
          <w:szCs w:val="22"/>
        </w:rPr>
        <w:t>Expert Report, December 2014.  PNC Bank, N.A. was the Client.</w:t>
      </w:r>
    </w:p>
    <w:p w:rsidR="002172AA" w:rsidRPr="002172AA" w:rsidRDefault="002172AA" w:rsidP="002172AA">
      <w:pPr>
        <w:pStyle w:val="ListParagraph"/>
        <w:numPr>
          <w:ilvl w:val="0"/>
          <w:numId w:val="21"/>
        </w:numPr>
        <w:tabs>
          <w:tab w:val="clear" w:pos="1080"/>
          <w:tab w:val="num" w:pos="720"/>
        </w:tabs>
        <w:ind w:left="720"/>
        <w:jc w:val="both"/>
        <w:rPr>
          <w:rFonts w:ascii="Verdana" w:hAnsi="Verdana"/>
          <w:sz w:val="22"/>
          <w:szCs w:val="22"/>
        </w:rPr>
      </w:pPr>
      <w:r w:rsidRPr="002172AA">
        <w:rPr>
          <w:rFonts w:ascii="Verdana" w:hAnsi="Verdana"/>
          <w:sz w:val="22"/>
          <w:szCs w:val="22"/>
        </w:rPr>
        <w:t xml:space="preserve">Deutsche Bank, N.A. as Trustee for WAMU 2005-AR2 v. Edward E. Pollard. </w:t>
      </w:r>
      <w:r>
        <w:rPr>
          <w:rFonts w:ascii="Verdana" w:hAnsi="Verdana"/>
          <w:sz w:val="22"/>
          <w:szCs w:val="22"/>
        </w:rPr>
        <w:t xml:space="preserve">Expert Report, February 2015.  </w:t>
      </w:r>
      <w:r w:rsidR="00740A34">
        <w:rPr>
          <w:rFonts w:ascii="Verdana" w:hAnsi="Verdana"/>
          <w:sz w:val="22"/>
          <w:szCs w:val="22"/>
        </w:rPr>
        <w:t xml:space="preserve">Trial preparation, June 2015.  </w:t>
      </w:r>
      <w:r>
        <w:rPr>
          <w:rFonts w:ascii="Verdana" w:hAnsi="Verdana"/>
          <w:sz w:val="22"/>
          <w:szCs w:val="22"/>
        </w:rPr>
        <w:t>Deutsche Bank was the Client.</w:t>
      </w:r>
    </w:p>
    <w:p w:rsidR="002626EB" w:rsidRDefault="002626EB" w:rsidP="002626EB">
      <w:pPr>
        <w:pStyle w:val="ListParagraph"/>
        <w:numPr>
          <w:ilvl w:val="0"/>
          <w:numId w:val="21"/>
        </w:numPr>
        <w:ind w:left="720"/>
        <w:jc w:val="both"/>
        <w:rPr>
          <w:rFonts w:ascii="Verdana" w:hAnsi="Verdana"/>
          <w:sz w:val="22"/>
          <w:szCs w:val="22"/>
        </w:rPr>
      </w:pPr>
      <w:r w:rsidRPr="00DA00C8">
        <w:rPr>
          <w:rFonts w:ascii="Verdana" w:hAnsi="Verdana"/>
          <w:sz w:val="22"/>
          <w:szCs w:val="22"/>
        </w:rPr>
        <w:t xml:space="preserve">Mario </w:t>
      </w:r>
      <w:proofErr w:type="spellStart"/>
      <w:r w:rsidRPr="00DA00C8">
        <w:rPr>
          <w:rFonts w:ascii="Verdana" w:hAnsi="Verdana"/>
          <w:sz w:val="22"/>
          <w:szCs w:val="22"/>
        </w:rPr>
        <w:t>Lelles</w:t>
      </w:r>
      <w:proofErr w:type="spellEnd"/>
      <w:r w:rsidRPr="00DA00C8">
        <w:rPr>
          <w:rFonts w:ascii="Verdana" w:hAnsi="Verdana"/>
          <w:sz w:val="22"/>
          <w:szCs w:val="22"/>
        </w:rPr>
        <w:t xml:space="preserve"> Correa v. Wells Fargo Bank, N.A. as Trustee for the Harbor View Mortgage Loan Pass-Through Certificates, Series 2007-1.</w:t>
      </w:r>
      <w:r>
        <w:rPr>
          <w:rFonts w:ascii="Verdana" w:hAnsi="Verdana"/>
          <w:sz w:val="22"/>
          <w:szCs w:val="22"/>
        </w:rPr>
        <w:t xml:space="preserve">  Expert Report, February 2015.  The Defendant was the Client.</w:t>
      </w:r>
    </w:p>
    <w:p w:rsidR="00DA00C8" w:rsidRDefault="000C126E" w:rsidP="000C126E">
      <w:pPr>
        <w:pStyle w:val="ListParagraph"/>
        <w:numPr>
          <w:ilvl w:val="0"/>
          <w:numId w:val="21"/>
        </w:numPr>
        <w:tabs>
          <w:tab w:val="clear" w:pos="1080"/>
          <w:tab w:val="num" w:pos="720"/>
        </w:tabs>
        <w:ind w:left="720"/>
        <w:jc w:val="both"/>
        <w:rPr>
          <w:rFonts w:ascii="Verdana" w:hAnsi="Verdana"/>
          <w:sz w:val="22"/>
          <w:szCs w:val="22"/>
        </w:rPr>
      </w:pPr>
      <w:r w:rsidRPr="000C126E">
        <w:rPr>
          <w:rFonts w:ascii="Verdana" w:hAnsi="Verdana"/>
          <w:sz w:val="22"/>
          <w:szCs w:val="22"/>
        </w:rPr>
        <w:t xml:space="preserve">Ruth Wiseman v. First Mariner Bank, MetLife Home Loans, Charles J. </w:t>
      </w:r>
      <w:proofErr w:type="spellStart"/>
      <w:r w:rsidRPr="000C126E">
        <w:rPr>
          <w:rFonts w:ascii="Verdana" w:hAnsi="Verdana"/>
          <w:sz w:val="22"/>
          <w:szCs w:val="22"/>
        </w:rPr>
        <w:t>Pastore</w:t>
      </w:r>
      <w:proofErr w:type="spellEnd"/>
      <w:r w:rsidRPr="000C126E">
        <w:rPr>
          <w:rFonts w:ascii="Verdana" w:hAnsi="Verdana"/>
          <w:sz w:val="22"/>
          <w:szCs w:val="22"/>
        </w:rPr>
        <w:t xml:space="preserve">, and </w:t>
      </w:r>
      <w:proofErr w:type="spellStart"/>
      <w:r w:rsidRPr="000C126E">
        <w:rPr>
          <w:rFonts w:ascii="Verdana" w:hAnsi="Verdana"/>
          <w:sz w:val="22"/>
          <w:szCs w:val="22"/>
        </w:rPr>
        <w:t>Nationstar</w:t>
      </w:r>
      <w:proofErr w:type="spellEnd"/>
      <w:r w:rsidRPr="000C126E">
        <w:rPr>
          <w:rFonts w:ascii="Verdana" w:hAnsi="Verdana"/>
          <w:sz w:val="22"/>
          <w:szCs w:val="22"/>
        </w:rPr>
        <w:t xml:space="preserve"> Mortgage, LLC t/a Champion Mortgage.  </w:t>
      </w:r>
      <w:r>
        <w:rPr>
          <w:rFonts w:ascii="Verdana" w:hAnsi="Verdana"/>
          <w:sz w:val="22"/>
          <w:szCs w:val="22"/>
        </w:rPr>
        <w:t xml:space="preserve">Expert Report, March 2015.  Defendants First Mariner Bank and Charles J. </w:t>
      </w:r>
      <w:proofErr w:type="spellStart"/>
      <w:r>
        <w:rPr>
          <w:rFonts w:ascii="Verdana" w:hAnsi="Verdana"/>
          <w:sz w:val="22"/>
          <w:szCs w:val="22"/>
        </w:rPr>
        <w:t>Pastore</w:t>
      </w:r>
      <w:proofErr w:type="spellEnd"/>
      <w:r>
        <w:rPr>
          <w:rFonts w:ascii="Verdana" w:hAnsi="Verdana"/>
          <w:sz w:val="22"/>
          <w:szCs w:val="22"/>
        </w:rPr>
        <w:t xml:space="preserve"> were the Clients.  </w:t>
      </w:r>
    </w:p>
    <w:p w:rsidR="004E354E" w:rsidRDefault="004E354E" w:rsidP="000C126E">
      <w:pPr>
        <w:pStyle w:val="ListParagraph"/>
        <w:numPr>
          <w:ilvl w:val="0"/>
          <w:numId w:val="21"/>
        </w:numPr>
        <w:tabs>
          <w:tab w:val="clear" w:pos="1080"/>
          <w:tab w:val="num" w:pos="720"/>
        </w:tabs>
        <w:ind w:left="720"/>
        <w:jc w:val="both"/>
        <w:rPr>
          <w:rFonts w:ascii="Verdana" w:hAnsi="Verdana"/>
          <w:sz w:val="22"/>
          <w:szCs w:val="22"/>
        </w:rPr>
      </w:pPr>
      <w:r>
        <w:rPr>
          <w:rFonts w:ascii="Verdana" w:hAnsi="Verdana"/>
          <w:sz w:val="22"/>
          <w:szCs w:val="22"/>
        </w:rPr>
        <w:t xml:space="preserve">Jerry R. Taylor and Debra B. Taylor v. Bank of America, NA, Mortgage Electronic Registrations Systems, Inc. (MERS), The Bank of New York Mellon, Trustee for the Certificate Holders of the CWALT, Inc. Alternative Loan Trust 2007-16CB, </w:t>
      </w:r>
      <w:proofErr w:type="spellStart"/>
      <w:r>
        <w:rPr>
          <w:rFonts w:ascii="Verdana" w:hAnsi="Verdana"/>
          <w:sz w:val="22"/>
          <w:szCs w:val="22"/>
        </w:rPr>
        <w:t>Recontrust</w:t>
      </w:r>
      <w:proofErr w:type="spellEnd"/>
      <w:r>
        <w:rPr>
          <w:rFonts w:ascii="Verdana" w:hAnsi="Verdana"/>
          <w:sz w:val="22"/>
          <w:szCs w:val="22"/>
        </w:rPr>
        <w:t xml:space="preserve"> Company, NA, and ALG Trustee, LLC.  Memorandum to Counsel that included an analysis of the Complaint and an analysis of the </w:t>
      </w:r>
      <w:r w:rsidR="00740A34">
        <w:rPr>
          <w:rFonts w:ascii="Verdana" w:hAnsi="Verdana"/>
          <w:sz w:val="22"/>
          <w:szCs w:val="22"/>
        </w:rPr>
        <w:t>opinions offered by Expert re</w:t>
      </w:r>
      <w:r w:rsidR="00755F73">
        <w:rPr>
          <w:rFonts w:ascii="Verdana" w:hAnsi="Verdana"/>
          <w:sz w:val="22"/>
          <w:szCs w:val="22"/>
        </w:rPr>
        <w:t xml:space="preserve">tained by Plaintiffs’ Counsel, </w:t>
      </w:r>
      <w:r w:rsidR="00740A34">
        <w:rPr>
          <w:rFonts w:ascii="Verdana" w:hAnsi="Verdana"/>
          <w:sz w:val="22"/>
          <w:szCs w:val="22"/>
        </w:rPr>
        <w:t>May 2015.</w:t>
      </w:r>
      <w:r w:rsidR="00755F73">
        <w:rPr>
          <w:rFonts w:ascii="Verdana" w:hAnsi="Verdana"/>
          <w:sz w:val="22"/>
          <w:szCs w:val="22"/>
        </w:rPr>
        <w:t xml:space="preserve">  MERS and The Bank of New York Mellon were the Clients.  </w:t>
      </w:r>
    </w:p>
    <w:p w:rsidR="00A00F3E" w:rsidRDefault="00A00F3E" w:rsidP="00A00F3E">
      <w:pPr>
        <w:pStyle w:val="ListParagraph"/>
        <w:numPr>
          <w:ilvl w:val="0"/>
          <w:numId w:val="21"/>
        </w:numPr>
        <w:tabs>
          <w:tab w:val="clear" w:pos="1080"/>
        </w:tabs>
        <w:ind w:left="720"/>
        <w:jc w:val="both"/>
        <w:rPr>
          <w:rFonts w:ascii="Verdana" w:hAnsi="Verdana"/>
          <w:sz w:val="22"/>
          <w:szCs w:val="22"/>
        </w:rPr>
      </w:pPr>
      <w:r w:rsidRPr="00A00F3E">
        <w:rPr>
          <w:rFonts w:ascii="Verdana" w:hAnsi="Verdana"/>
          <w:sz w:val="22"/>
          <w:szCs w:val="22"/>
        </w:rPr>
        <w:t xml:space="preserve">Deutsche Bank National Association Trust Company, As Trustee For the </w:t>
      </w:r>
      <w:r>
        <w:rPr>
          <w:rFonts w:ascii="Verdana" w:hAnsi="Verdana"/>
          <w:sz w:val="22"/>
          <w:szCs w:val="22"/>
        </w:rPr>
        <w:t xml:space="preserve">Benefit Of </w:t>
      </w:r>
      <w:r w:rsidRPr="00A00F3E">
        <w:rPr>
          <w:rFonts w:ascii="Verdana" w:hAnsi="Verdana"/>
          <w:sz w:val="22"/>
          <w:szCs w:val="22"/>
        </w:rPr>
        <w:t>HSI Asset Securitization Corporation And HSI Asset Securitization Corpor</w:t>
      </w:r>
      <w:r>
        <w:rPr>
          <w:rFonts w:ascii="Verdana" w:hAnsi="Verdana"/>
          <w:sz w:val="22"/>
          <w:szCs w:val="22"/>
        </w:rPr>
        <w:t xml:space="preserve">ation Trust 2007-HEI </w:t>
      </w:r>
      <w:r w:rsidRPr="00A00F3E">
        <w:rPr>
          <w:rFonts w:ascii="Verdana" w:hAnsi="Verdana"/>
          <w:sz w:val="22"/>
          <w:szCs w:val="22"/>
        </w:rPr>
        <w:t xml:space="preserve">v. Jacqueline J. Kratsas and Lisa A. Huston, Defendants. </w:t>
      </w:r>
      <w:r>
        <w:rPr>
          <w:rFonts w:ascii="Verdana" w:hAnsi="Verdana"/>
          <w:sz w:val="22"/>
          <w:szCs w:val="22"/>
        </w:rPr>
        <w:t xml:space="preserve">Expert Report, March 2016.  </w:t>
      </w:r>
      <w:r w:rsidR="00755F73">
        <w:rPr>
          <w:rFonts w:ascii="Verdana" w:hAnsi="Verdana"/>
          <w:sz w:val="22"/>
          <w:szCs w:val="22"/>
        </w:rPr>
        <w:t>Deutsche Bank National Association Trus</w:t>
      </w:r>
      <w:r w:rsidR="00BF7FC6">
        <w:rPr>
          <w:rFonts w:ascii="Verdana" w:hAnsi="Verdana"/>
          <w:sz w:val="22"/>
          <w:szCs w:val="22"/>
        </w:rPr>
        <w:t>t Company was the Client.</w:t>
      </w:r>
      <w:bookmarkStart w:id="0" w:name="_GoBack"/>
      <w:bookmarkEnd w:id="0"/>
    </w:p>
    <w:p w:rsidR="00A00F3E" w:rsidRPr="00755F73" w:rsidRDefault="0078487E" w:rsidP="00A00F3E">
      <w:pPr>
        <w:pStyle w:val="ListParagraph"/>
        <w:numPr>
          <w:ilvl w:val="0"/>
          <w:numId w:val="21"/>
        </w:numPr>
        <w:tabs>
          <w:tab w:val="clear" w:pos="1080"/>
        </w:tabs>
        <w:ind w:left="720"/>
        <w:jc w:val="both"/>
        <w:rPr>
          <w:rFonts w:ascii="Verdana" w:hAnsi="Verdana"/>
          <w:sz w:val="22"/>
          <w:szCs w:val="22"/>
        </w:rPr>
      </w:pPr>
      <w:r w:rsidRPr="0078487E">
        <w:rPr>
          <w:rFonts w:ascii="Verdana" w:hAnsi="Verdana" w:cs="Arial"/>
          <w:color w:val="000000"/>
          <w:sz w:val="22"/>
          <w:szCs w:val="22"/>
        </w:rPr>
        <w:lastRenderedPageBreak/>
        <w:t xml:space="preserve">Charles and Janice Biser v. Manufacturers and Traders Trust Company, d/b/a M &amp; T Bank.  </w:t>
      </w:r>
      <w:r>
        <w:rPr>
          <w:rFonts w:ascii="Verdana" w:hAnsi="Verdana" w:cs="Arial"/>
          <w:color w:val="000000"/>
          <w:sz w:val="22"/>
          <w:szCs w:val="22"/>
        </w:rPr>
        <w:t>Expert Report, June 2016.</w:t>
      </w:r>
      <w:r w:rsidR="00755F73">
        <w:rPr>
          <w:rFonts w:ascii="Verdana" w:hAnsi="Verdana" w:cs="Arial"/>
          <w:color w:val="000000"/>
          <w:sz w:val="22"/>
          <w:szCs w:val="22"/>
        </w:rPr>
        <w:t xml:space="preserve">  The Defendant was the Client.  </w:t>
      </w:r>
    </w:p>
    <w:p w:rsidR="00755F73" w:rsidRDefault="00755F73" w:rsidP="00A00F3E">
      <w:pPr>
        <w:pStyle w:val="ListParagraph"/>
        <w:numPr>
          <w:ilvl w:val="0"/>
          <w:numId w:val="21"/>
        </w:numPr>
        <w:shd w:val="clear" w:color="auto" w:fill="FFFFFF"/>
        <w:tabs>
          <w:tab w:val="clear" w:pos="1080"/>
        </w:tabs>
        <w:ind w:left="720"/>
        <w:jc w:val="both"/>
        <w:rPr>
          <w:rFonts w:ascii="Verdana" w:hAnsi="Verdana" w:cs="Arial"/>
          <w:color w:val="000000"/>
          <w:sz w:val="22"/>
          <w:szCs w:val="22"/>
        </w:rPr>
      </w:pPr>
      <w:r w:rsidRPr="00755F73">
        <w:rPr>
          <w:rFonts w:ascii="Verdana" w:hAnsi="Verdana" w:cs="Arial"/>
          <w:color w:val="000000"/>
          <w:sz w:val="22"/>
          <w:szCs w:val="22"/>
        </w:rPr>
        <w:t xml:space="preserve">David William Wood v. Equifax Credit Information Services, LLC, Experian Information Solutions, Inc., Trans Union, LLC, Credit One Bank, NA, and Midland Credit Management, Inc.  </w:t>
      </w:r>
      <w:r>
        <w:rPr>
          <w:rFonts w:ascii="Verdana" w:hAnsi="Verdana" w:cs="Arial"/>
          <w:color w:val="000000"/>
          <w:sz w:val="22"/>
          <w:szCs w:val="22"/>
        </w:rPr>
        <w:t>Expert Report, July 2016.  Deposition Appearance, August 2016.  Defendant Credit One Bank, NA was the Client.</w:t>
      </w:r>
    </w:p>
    <w:p w:rsidR="0066658C" w:rsidRPr="00755F73" w:rsidRDefault="0066658C" w:rsidP="00A00F3E">
      <w:pPr>
        <w:pStyle w:val="ListParagraph"/>
        <w:numPr>
          <w:ilvl w:val="0"/>
          <w:numId w:val="21"/>
        </w:numPr>
        <w:shd w:val="clear" w:color="auto" w:fill="FFFFFF"/>
        <w:tabs>
          <w:tab w:val="clear" w:pos="1080"/>
        </w:tabs>
        <w:ind w:left="720"/>
        <w:jc w:val="both"/>
        <w:rPr>
          <w:rFonts w:ascii="Verdana" w:hAnsi="Verdana" w:cs="Arial"/>
          <w:color w:val="000000"/>
          <w:sz w:val="22"/>
          <w:szCs w:val="22"/>
        </w:rPr>
      </w:pPr>
      <w:r>
        <w:rPr>
          <w:rFonts w:ascii="Verdana" w:hAnsi="Verdana" w:cs="Arial"/>
          <w:color w:val="000000"/>
          <w:sz w:val="22"/>
          <w:szCs w:val="22"/>
        </w:rPr>
        <w:t>Ginger Bowman v. Envoy Mortgage, L.P., Richard Weiner, and Jasper Buck. Deposition Appearance, February 2017.  Defendant Envoy Mortgage, L.P. was the Client.</w:t>
      </w:r>
    </w:p>
    <w:p w:rsidR="00755F73" w:rsidRPr="0078487E" w:rsidRDefault="00755F73" w:rsidP="00755F73">
      <w:pPr>
        <w:pStyle w:val="ListParagraph"/>
        <w:jc w:val="both"/>
        <w:rPr>
          <w:rFonts w:ascii="Verdana" w:hAnsi="Verdana"/>
          <w:sz w:val="22"/>
          <w:szCs w:val="22"/>
        </w:rPr>
      </w:pPr>
    </w:p>
    <w:p w:rsidR="002B04FC" w:rsidRDefault="002B04FC" w:rsidP="00EC4A40">
      <w:pPr>
        <w:tabs>
          <w:tab w:val="left" w:pos="720"/>
        </w:tabs>
        <w:jc w:val="both"/>
        <w:rPr>
          <w:rFonts w:ascii="Verdana" w:hAnsi="Verdana"/>
          <w:sz w:val="22"/>
        </w:rPr>
      </w:pPr>
      <w:r>
        <w:rPr>
          <w:rFonts w:ascii="Verdana" w:hAnsi="Verdana"/>
          <w:sz w:val="22"/>
          <w:u w:val="single"/>
        </w:rPr>
        <w:t>Omega</w:t>
      </w:r>
      <w:r>
        <w:rPr>
          <w:rFonts w:ascii="Verdana" w:hAnsi="Verdana"/>
          <w:sz w:val="22"/>
        </w:rPr>
        <w:t xml:space="preserve"> </w:t>
      </w:r>
      <w:r>
        <w:rPr>
          <w:rFonts w:ascii="Verdana" w:hAnsi="Verdana"/>
          <w:sz w:val="22"/>
          <w:u w:val="single"/>
        </w:rPr>
        <w:t>Performance</w:t>
      </w:r>
      <w:r>
        <w:rPr>
          <w:rFonts w:ascii="Verdana" w:hAnsi="Verdana"/>
          <w:sz w:val="22"/>
        </w:rPr>
        <w:t xml:space="preserve"> </w:t>
      </w:r>
      <w:r>
        <w:rPr>
          <w:rFonts w:ascii="Verdana" w:hAnsi="Verdana"/>
          <w:sz w:val="22"/>
          <w:u w:val="single"/>
        </w:rPr>
        <w:t>Corporation</w:t>
      </w:r>
      <w:r>
        <w:rPr>
          <w:rFonts w:ascii="Verdana" w:hAnsi="Verdana"/>
          <w:sz w:val="22"/>
        </w:rPr>
        <w:t xml:space="preserve"> (October 2000 – April 2004)</w:t>
      </w:r>
    </w:p>
    <w:p w:rsidR="00755F73" w:rsidRDefault="00755F73" w:rsidP="00EC4A40">
      <w:pPr>
        <w:tabs>
          <w:tab w:val="left" w:pos="720"/>
        </w:tabs>
        <w:jc w:val="both"/>
        <w:rPr>
          <w:rFonts w:ascii="Verdana" w:hAnsi="Verdana"/>
          <w:sz w:val="22"/>
        </w:rPr>
      </w:pPr>
    </w:p>
    <w:p w:rsidR="002B04FC" w:rsidRDefault="002B04FC" w:rsidP="00E47432">
      <w:pPr>
        <w:jc w:val="both"/>
        <w:rPr>
          <w:rFonts w:ascii="Verdana" w:hAnsi="Verdana"/>
          <w:sz w:val="22"/>
        </w:rPr>
      </w:pPr>
      <w:r>
        <w:rPr>
          <w:rFonts w:ascii="Verdana" w:hAnsi="Verdana"/>
          <w:sz w:val="22"/>
        </w:rPr>
        <w:t xml:space="preserve">Omega provides a variety of commercial and consumer credit training programs and sales training programs to the financial services industry on a worldwide basis.  </w:t>
      </w:r>
      <w:r w:rsidR="00C437A5">
        <w:rPr>
          <w:rFonts w:ascii="Verdana" w:hAnsi="Verdana"/>
          <w:sz w:val="22"/>
        </w:rPr>
        <w:t xml:space="preserve">As an independent contractor, </w:t>
      </w:r>
      <w:r>
        <w:rPr>
          <w:rFonts w:ascii="Verdana" w:hAnsi="Verdana"/>
          <w:sz w:val="22"/>
        </w:rPr>
        <w:t>facilitated the following credit training workshops at various financial institutions:</w:t>
      </w:r>
    </w:p>
    <w:p w:rsidR="002B04FC" w:rsidRDefault="002B04FC" w:rsidP="002B04FC">
      <w:pPr>
        <w:ind w:left="360"/>
        <w:jc w:val="both"/>
        <w:rPr>
          <w:rFonts w:ascii="Verdana" w:hAnsi="Verdana"/>
          <w:sz w:val="22"/>
        </w:rPr>
      </w:pPr>
    </w:p>
    <w:p w:rsidR="002B04FC" w:rsidRDefault="002B04FC" w:rsidP="00E47432">
      <w:pPr>
        <w:numPr>
          <w:ilvl w:val="0"/>
          <w:numId w:val="14"/>
        </w:numPr>
        <w:tabs>
          <w:tab w:val="clear" w:pos="360"/>
          <w:tab w:val="num" w:pos="1800"/>
        </w:tabs>
        <w:ind w:left="720"/>
        <w:jc w:val="both"/>
        <w:rPr>
          <w:rFonts w:ascii="Verdana" w:hAnsi="Verdana"/>
          <w:sz w:val="22"/>
        </w:rPr>
      </w:pPr>
      <w:r>
        <w:rPr>
          <w:rFonts w:ascii="Verdana" w:hAnsi="Verdana"/>
          <w:sz w:val="22"/>
        </w:rPr>
        <w:t>Understanding Business Cash Flow</w:t>
      </w:r>
    </w:p>
    <w:p w:rsidR="002B04FC" w:rsidRDefault="002B04FC" w:rsidP="00E47432">
      <w:pPr>
        <w:numPr>
          <w:ilvl w:val="0"/>
          <w:numId w:val="14"/>
        </w:numPr>
        <w:tabs>
          <w:tab w:val="clear" w:pos="360"/>
          <w:tab w:val="num" w:pos="1440"/>
        </w:tabs>
        <w:ind w:left="720"/>
        <w:jc w:val="both"/>
        <w:rPr>
          <w:rFonts w:ascii="Verdana" w:hAnsi="Verdana"/>
          <w:sz w:val="22"/>
        </w:rPr>
      </w:pPr>
      <w:r>
        <w:rPr>
          <w:rFonts w:ascii="Verdana" w:hAnsi="Verdana"/>
          <w:sz w:val="22"/>
        </w:rPr>
        <w:t>Analyzing Personal Cash Flow</w:t>
      </w:r>
    </w:p>
    <w:p w:rsidR="002B04FC" w:rsidRDefault="002B04FC" w:rsidP="00E47432">
      <w:pPr>
        <w:numPr>
          <w:ilvl w:val="0"/>
          <w:numId w:val="14"/>
        </w:numPr>
        <w:tabs>
          <w:tab w:val="clear" w:pos="360"/>
          <w:tab w:val="num" w:pos="1080"/>
        </w:tabs>
        <w:ind w:left="720"/>
        <w:jc w:val="both"/>
        <w:rPr>
          <w:rFonts w:ascii="Verdana" w:hAnsi="Verdana"/>
          <w:sz w:val="22"/>
        </w:rPr>
      </w:pPr>
      <w:r>
        <w:rPr>
          <w:rFonts w:ascii="Verdana" w:hAnsi="Verdana"/>
          <w:sz w:val="22"/>
        </w:rPr>
        <w:t>Commercial Loans To Business</w:t>
      </w:r>
    </w:p>
    <w:p w:rsidR="002B04FC" w:rsidRDefault="002B04FC" w:rsidP="00E47432">
      <w:pPr>
        <w:numPr>
          <w:ilvl w:val="0"/>
          <w:numId w:val="14"/>
        </w:numPr>
        <w:tabs>
          <w:tab w:val="clear" w:pos="360"/>
          <w:tab w:val="num" w:pos="1080"/>
        </w:tabs>
        <w:ind w:left="720"/>
        <w:jc w:val="both"/>
        <w:rPr>
          <w:rFonts w:ascii="Verdana" w:hAnsi="Verdana"/>
          <w:sz w:val="22"/>
        </w:rPr>
      </w:pPr>
      <w:r>
        <w:rPr>
          <w:rFonts w:ascii="Verdana" w:hAnsi="Verdana"/>
          <w:sz w:val="22"/>
        </w:rPr>
        <w:t>Commercial Loans To Small Business</w:t>
      </w:r>
    </w:p>
    <w:p w:rsidR="002B04FC" w:rsidRDefault="002B04FC" w:rsidP="00E47432">
      <w:pPr>
        <w:numPr>
          <w:ilvl w:val="0"/>
          <w:numId w:val="14"/>
        </w:numPr>
        <w:tabs>
          <w:tab w:val="clear" w:pos="360"/>
          <w:tab w:val="num" w:pos="1080"/>
        </w:tabs>
        <w:ind w:left="720"/>
        <w:jc w:val="both"/>
        <w:rPr>
          <w:rFonts w:ascii="Verdana" w:hAnsi="Verdana"/>
          <w:sz w:val="22"/>
        </w:rPr>
      </w:pPr>
      <w:r>
        <w:rPr>
          <w:rFonts w:ascii="Verdana" w:hAnsi="Verdana"/>
          <w:sz w:val="22"/>
        </w:rPr>
        <w:t>Consumer Lending</w:t>
      </w:r>
    </w:p>
    <w:p w:rsidR="002B04FC" w:rsidRDefault="002B04FC" w:rsidP="00E47432">
      <w:pPr>
        <w:numPr>
          <w:ilvl w:val="0"/>
          <w:numId w:val="14"/>
        </w:numPr>
        <w:tabs>
          <w:tab w:val="clear" w:pos="360"/>
          <w:tab w:val="num" w:pos="1080"/>
        </w:tabs>
        <w:ind w:left="720"/>
        <w:jc w:val="both"/>
        <w:rPr>
          <w:rFonts w:ascii="Verdana" w:hAnsi="Verdana"/>
          <w:sz w:val="22"/>
          <w:u w:val="single"/>
        </w:rPr>
      </w:pPr>
      <w:r>
        <w:rPr>
          <w:rFonts w:ascii="Verdana" w:hAnsi="Verdana"/>
          <w:sz w:val="22"/>
        </w:rPr>
        <w:t>Loan Documentation</w:t>
      </w:r>
    </w:p>
    <w:p w:rsidR="002B04FC" w:rsidRDefault="002B04FC" w:rsidP="002B04FC">
      <w:pPr>
        <w:jc w:val="both"/>
        <w:rPr>
          <w:rFonts w:ascii="Verdana" w:hAnsi="Verdana"/>
          <w:sz w:val="22"/>
          <w:u w:val="single"/>
        </w:rPr>
      </w:pPr>
    </w:p>
    <w:p w:rsidR="002B04FC" w:rsidRDefault="002B04FC" w:rsidP="002B04FC">
      <w:pPr>
        <w:jc w:val="both"/>
        <w:rPr>
          <w:rFonts w:ascii="Verdana" w:hAnsi="Verdana"/>
          <w:sz w:val="22"/>
        </w:rPr>
      </w:pPr>
      <w:proofErr w:type="gramStart"/>
      <w:r>
        <w:rPr>
          <w:rFonts w:ascii="Verdana" w:hAnsi="Verdana"/>
          <w:sz w:val="22"/>
          <w:u w:val="single"/>
        </w:rPr>
        <w:t>Sandy</w:t>
      </w:r>
      <w:r>
        <w:rPr>
          <w:rFonts w:ascii="Verdana" w:hAnsi="Verdana"/>
          <w:sz w:val="22"/>
        </w:rPr>
        <w:t xml:space="preserve"> </w:t>
      </w:r>
      <w:r>
        <w:rPr>
          <w:rFonts w:ascii="Verdana" w:hAnsi="Verdana"/>
          <w:sz w:val="22"/>
          <w:u w:val="single"/>
        </w:rPr>
        <w:t>Spring</w:t>
      </w:r>
      <w:r>
        <w:rPr>
          <w:rFonts w:ascii="Verdana" w:hAnsi="Verdana"/>
          <w:sz w:val="22"/>
        </w:rPr>
        <w:t xml:space="preserve"> </w:t>
      </w:r>
      <w:r>
        <w:rPr>
          <w:rFonts w:ascii="Verdana" w:hAnsi="Verdana"/>
          <w:sz w:val="22"/>
          <w:u w:val="single"/>
        </w:rPr>
        <w:t>Friends</w:t>
      </w:r>
      <w:r>
        <w:rPr>
          <w:rFonts w:ascii="Verdana" w:hAnsi="Verdana"/>
          <w:sz w:val="22"/>
        </w:rPr>
        <w:t xml:space="preserve"> </w:t>
      </w:r>
      <w:r>
        <w:rPr>
          <w:rFonts w:ascii="Verdana" w:hAnsi="Verdana"/>
          <w:sz w:val="22"/>
          <w:u w:val="single"/>
        </w:rPr>
        <w:t>School</w:t>
      </w:r>
      <w:r>
        <w:rPr>
          <w:rFonts w:ascii="Verdana" w:hAnsi="Verdana"/>
          <w:sz w:val="22"/>
        </w:rPr>
        <w:t>, Sandy Spring, Maryland.</w:t>
      </w:r>
      <w:proofErr w:type="gramEnd"/>
      <w:r>
        <w:rPr>
          <w:rFonts w:ascii="Verdana" w:hAnsi="Verdana"/>
          <w:sz w:val="22"/>
        </w:rPr>
        <w:t xml:space="preserve">  </w:t>
      </w:r>
      <w:proofErr w:type="gramStart"/>
      <w:r>
        <w:rPr>
          <w:rFonts w:ascii="Verdana" w:hAnsi="Verdana"/>
          <w:sz w:val="22"/>
        </w:rPr>
        <w:t>Director of Business, Finance, and Development and Director of Financial Aid.</w:t>
      </w:r>
      <w:proofErr w:type="gramEnd"/>
      <w:r>
        <w:rPr>
          <w:rFonts w:ascii="Verdana" w:hAnsi="Verdana"/>
          <w:sz w:val="22"/>
        </w:rPr>
        <w:t xml:space="preserve">  </w:t>
      </w:r>
      <w:proofErr w:type="gramStart"/>
      <w:r>
        <w:rPr>
          <w:rFonts w:ascii="Verdana" w:hAnsi="Verdana"/>
          <w:sz w:val="22"/>
        </w:rPr>
        <w:t>(February 1, 1993 – August 31, 1995).</w:t>
      </w:r>
      <w:proofErr w:type="gramEnd"/>
    </w:p>
    <w:p w:rsidR="002B04FC" w:rsidRDefault="002B04FC" w:rsidP="002B04FC">
      <w:pPr>
        <w:jc w:val="both"/>
        <w:rPr>
          <w:rFonts w:ascii="Verdana" w:hAnsi="Verdana"/>
          <w:sz w:val="22"/>
        </w:rPr>
      </w:pPr>
    </w:p>
    <w:p w:rsidR="002B04FC" w:rsidRDefault="002B04FC" w:rsidP="002B04FC">
      <w:pPr>
        <w:numPr>
          <w:ilvl w:val="0"/>
          <w:numId w:val="9"/>
        </w:numPr>
        <w:jc w:val="both"/>
        <w:rPr>
          <w:rFonts w:ascii="Verdana" w:hAnsi="Verdana"/>
          <w:sz w:val="22"/>
        </w:rPr>
      </w:pPr>
      <w:r>
        <w:rPr>
          <w:rFonts w:ascii="Verdana" w:hAnsi="Verdana"/>
          <w:sz w:val="22"/>
        </w:rPr>
        <w:t>Management of all financial matters, including the collection of all tuition and fees, disbursement of all funds, development of the annual budget, and the coordination of the annual external audit.</w:t>
      </w:r>
    </w:p>
    <w:p w:rsidR="002B04FC" w:rsidRDefault="002B04FC" w:rsidP="002B04FC">
      <w:pPr>
        <w:numPr>
          <w:ilvl w:val="0"/>
          <w:numId w:val="9"/>
        </w:numPr>
        <w:jc w:val="both"/>
        <w:rPr>
          <w:rFonts w:ascii="Verdana" w:hAnsi="Verdana"/>
          <w:sz w:val="22"/>
        </w:rPr>
      </w:pPr>
      <w:r>
        <w:rPr>
          <w:rFonts w:ascii="Verdana" w:hAnsi="Verdana"/>
          <w:sz w:val="22"/>
        </w:rPr>
        <w:t>Responsible for all construction, maintenance, and repair of the School’s physical plant and facilities, which included 10 academic buildings, 4 single family residences, 14 apartments, and the dormitory.</w:t>
      </w:r>
    </w:p>
    <w:p w:rsidR="002B04FC" w:rsidRDefault="002B04FC" w:rsidP="002B04FC">
      <w:pPr>
        <w:numPr>
          <w:ilvl w:val="0"/>
          <w:numId w:val="9"/>
        </w:numPr>
        <w:jc w:val="both"/>
        <w:rPr>
          <w:rFonts w:ascii="Verdana" w:hAnsi="Verdana"/>
          <w:sz w:val="22"/>
        </w:rPr>
      </w:pPr>
      <w:r>
        <w:rPr>
          <w:rFonts w:ascii="Verdana" w:hAnsi="Verdana"/>
          <w:sz w:val="22"/>
        </w:rPr>
        <w:t>Responsible for all ancillary programs, including summer camps and facilities rentals.</w:t>
      </w:r>
    </w:p>
    <w:p w:rsidR="002B04FC" w:rsidRDefault="002B04FC" w:rsidP="002B04FC">
      <w:pPr>
        <w:numPr>
          <w:ilvl w:val="0"/>
          <w:numId w:val="9"/>
        </w:numPr>
        <w:jc w:val="both"/>
        <w:rPr>
          <w:rFonts w:ascii="Verdana" w:hAnsi="Verdana"/>
          <w:sz w:val="22"/>
        </w:rPr>
      </w:pPr>
      <w:r>
        <w:rPr>
          <w:rFonts w:ascii="Verdana" w:hAnsi="Verdana"/>
          <w:sz w:val="22"/>
        </w:rPr>
        <w:t xml:space="preserve">Chaired the Financial Assistance Committee and participated in the </w:t>
      </w:r>
      <w:proofErr w:type="spellStart"/>
      <w:r>
        <w:rPr>
          <w:rFonts w:ascii="Verdana" w:hAnsi="Verdana"/>
          <w:sz w:val="22"/>
        </w:rPr>
        <w:t>determina-tion</w:t>
      </w:r>
      <w:proofErr w:type="spellEnd"/>
      <w:r>
        <w:rPr>
          <w:rFonts w:ascii="Verdana" w:hAnsi="Verdana"/>
          <w:sz w:val="22"/>
        </w:rPr>
        <w:t xml:space="preserve"> of all financial aid awards.</w:t>
      </w:r>
    </w:p>
    <w:p w:rsidR="00496F64" w:rsidRDefault="002B04FC" w:rsidP="002B04FC">
      <w:pPr>
        <w:numPr>
          <w:ilvl w:val="0"/>
          <w:numId w:val="9"/>
        </w:numPr>
        <w:jc w:val="both"/>
        <w:rPr>
          <w:rFonts w:ascii="Verdana" w:hAnsi="Verdana"/>
          <w:sz w:val="22"/>
        </w:rPr>
      </w:pPr>
      <w:r w:rsidRPr="00496F64">
        <w:rPr>
          <w:rFonts w:ascii="Verdana" w:hAnsi="Verdana"/>
          <w:sz w:val="22"/>
        </w:rPr>
        <w:t>Managed the Annual Fund and Capital Campaign.</w:t>
      </w:r>
    </w:p>
    <w:p w:rsidR="00DA00C8" w:rsidRDefault="00DA00C8" w:rsidP="00496F64">
      <w:pPr>
        <w:jc w:val="both"/>
        <w:rPr>
          <w:rFonts w:ascii="Verdana" w:hAnsi="Verdana"/>
          <w:sz w:val="22"/>
          <w:u w:val="single"/>
        </w:rPr>
      </w:pPr>
    </w:p>
    <w:p w:rsidR="002B04FC" w:rsidRPr="00496F64" w:rsidRDefault="002B04FC" w:rsidP="00496F64">
      <w:pPr>
        <w:jc w:val="both"/>
        <w:rPr>
          <w:rFonts w:ascii="Verdana" w:hAnsi="Verdana"/>
          <w:sz w:val="22"/>
        </w:rPr>
      </w:pPr>
      <w:r w:rsidRPr="00496F64">
        <w:rPr>
          <w:rFonts w:ascii="Verdana" w:hAnsi="Verdana"/>
          <w:sz w:val="22"/>
          <w:u w:val="single"/>
        </w:rPr>
        <w:t>Maryland</w:t>
      </w:r>
      <w:r w:rsidRPr="00496F64">
        <w:rPr>
          <w:rFonts w:ascii="Verdana" w:hAnsi="Verdana"/>
          <w:sz w:val="22"/>
        </w:rPr>
        <w:t xml:space="preserve"> </w:t>
      </w:r>
      <w:r w:rsidRPr="00496F64">
        <w:rPr>
          <w:rFonts w:ascii="Verdana" w:hAnsi="Verdana"/>
          <w:sz w:val="22"/>
          <w:u w:val="single"/>
        </w:rPr>
        <w:t>National</w:t>
      </w:r>
      <w:r w:rsidRPr="00496F64">
        <w:rPr>
          <w:rFonts w:ascii="Verdana" w:hAnsi="Verdana"/>
          <w:sz w:val="22"/>
        </w:rPr>
        <w:t xml:space="preserve"> </w:t>
      </w:r>
      <w:r w:rsidRPr="00496F64">
        <w:rPr>
          <w:rFonts w:ascii="Verdana" w:hAnsi="Verdana"/>
          <w:sz w:val="22"/>
          <w:u w:val="single"/>
        </w:rPr>
        <w:t>Bank</w:t>
      </w:r>
      <w:r w:rsidRPr="00496F64">
        <w:rPr>
          <w:rFonts w:ascii="Verdana" w:hAnsi="Verdana"/>
          <w:sz w:val="22"/>
        </w:rPr>
        <w:t xml:space="preserve"> (March 1, 1982 – January 31, 1993)</w:t>
      </w:r>
    </w:p>
    <w:p w:rsidR="002B04FC" w:rsidRDefault="002B04FC" w:rsidP="002B04FC">
      <w:pPr>
        <w:jc w:val="both"/>
        <w:rPr>
          <w:rFonts w:ascii="Verdana" w:hAnsi="Verdana"/>
          <w:sz w:val="22"/>
        </w:rPr>
      </w:pPr>
    </w:p>
    <w:p w:rsidR="002B04FC" w:rsidRDefault="002B04FC" w:rsidP="00F330AC">
      <w:pPr>
        <w:numPr>
          <w:ilvl w:val="0"/>
          <w:numId w:val="10"/>
        </w:numPr>
        <w:tabs>
          <w:tab w:val="clear" w:pos="360"/>
          <w:tab w:val="num" w:pos="0"/>
        </w:tabs>
        <w:jc w:val="both"/>
        <w:rPr>
          <w:rFonts w:ascii="Verdana" w:hAnsi="Verdana"/>
          <w:sz w:val="22"/>
        </w:rPr>
      </w:pPr>
      <w:r>
        <w:rPr>
          <w:rFonts w:ascii="Verdana" w:hAnsi="Verdana"/>
          <w:sz w:val="22"/>
        </w:rPr>
        <w:t xml:space="preserve">Manager, Rockville Mall Office, Rockville, Maryland (6 months).  Responsible for the overall operation of the office, including </w:t>
      </w:r>
      <w:r w:rsidRPr="00A44812">
        <w:rPr>
          <w:rFonts w:ascii="Verdana" w:hAnsi="Verdana"/>
          <w:sz w:val="22"/>
        </w:rPr>
        <w:t>the sale and management of commercial and retail depository products and services</w:t>
      </w:r>
      <w:r>
        <w:rPr>
          <w:rFonts w:ascii="Verdana" w:hAnsi="Verdana"/>
          <w:sz w:val="22"/>
        </w:rPr>
        <w:t>, personnel management, and internal audits and operating controls.  Also responsible for development and implementation of a commercial business development plan.</w:t>
      </w:r>
    </w:p>
    <w:p w:rsidR="002B04FC" w:rsidRDefault="002B04FC" w:rsidP="002B04FC">
      <w:pPr>
        <w:ind w:left="360"/>
        <w:jc w:val="both"/>
        <w:rPr>
          <w:rFonts w:ascii="Verdana" w:hAnsi="Verdana"/>
          <w:sz w:val="22"/>
        </w:rPr>
      </w:pPr>
    </w:p>
    <w:p w:rsidR="002B04FC" w:rsidRPr="00786551" w:rsidRDefault="002B04FC" w:rsidP="002B04FC">
      <w:pPr>
        <w:numPr>
          <w:ilvl w:val="0"/>
          <w:numId w:val="10"/>
        </w:numPr>
        <w:jc w:val="both"/>
        <w:rPr>
          <w:rFonts w:ascii="Verdana" w:hAnsi="Verdana"/>
          <w:sz w:val="22"/>
        </w:rPr>
      </w:pPr>
      <w:r w:rsidRPr="00786551">
        <w:rPr>
          <w:rFonts w:ascii="Verdana" w:hAnsi="Verdana"/>
          <w:sz w:val="22"/>
        </w:rPr>
        <w:lastRenderedPageBreak/>
        <w:t xml:space="preserve">Vice President and Commercial Relationship Manager (8 years).  Responsible for management of approximately 100 commercial loan relationships, primarily with small businesses.  Loan portfolio typically included asset-based loans to finance investment in accounts receivable and/or inventory, seasonal working capital lines of credit, and loans to finance </w:t>
      </w:r>
      <w:r>
        <w:rPr>
          <w:rFonts w:ascii="Verdana" w:hAnsi="Verdana"/>
          <w:sz w:val="22"/>
        </w:rPr>
        <w:t xml:space="preserve">real estate, </w:t>
      </w:r>
      <w:r w:rsidRPr="00786551">
        <w:rPr>
          <w:rFonts w:ascii="Verdana" w:hAnsi="Verdana"/>
          <w:sz w:val="22"/>
        </w:rPr>
        <w:t>equipment</w:t>
      </w:r>
      <w:r>
        <w:rPr>
          <w:rFonts w:ascii="Verdana" w:hAnsi="Verdana"/>
          <w:sz w:val="22"/>
        </w:rPr>
        <w:t>,</w:t>
      </w:r>
      <w:r w:rsidRPr="00786551">
        <w:rPr>
          <w:rFonts w:ascii="Verdana" w:hAnsi="Verdana"/>
          <w:sz w:val="22"/>
        </w:rPr>
        <w:t xml:space="preserve"> and other long term assets.  Extensive experience in all aspects of commercial lending, including business development, loan origination, credit analysis/loan underwriting, preparation of a loan summary, loan structuring and pricing of loan facilities and negotiation of the same with the customer/applicant, loan documentation, loan grading/risk rating, loan management, and the management of special assets.</w:t>
      </w:r>
      <w:r w:rsidRPr="00786551">
        <w:rPr>
          <w:rFonts w:ascii="Verdana" w:hAnsi="Verdana"/>
        </w:rPr>
        <w:t xml:space="preserve"> </w:t>
      </w:r>
    </w:p>
    <w:p w:rsidR="002B04FC" w:rsidRPr="00786551" w:rsidRDefault="002B04FC" w:rsidP="002B04FC">
      <w:pPr>
        <w:jc w:val="both"/>
        <w:rPr>
          <w:rFonts w:ascii="Verdana" w:hAnsi="Verdana"/>
          <w:sz w:val="22"/>
        </w:rPr>
      </w:pPr>
    </w:p>
    <w:p w:rsidR="006C214E" w:rsidRPr="008B46FD" w:rsidRDefault="002B04FC" w:rsidP="002B04FC">
      <w:pPr>
        <w:numPr>
          <w:ilvl w:val="0"/>
          <w:numId w:val="19"/>
        </w:numPr>
        <w:jc w:val="both"/>
        <w:rPr>
          <w:rFonts w:ascii="Verdana" w:hAnsi="Verdana"/>
          <w:sz w:val="22"/>
          <w:u w:val="single"/>
        </w:rPr>
      </w:pPr>
      <w:r w:rsidRPr="008B46FD">
        <w:rPr>
          <w:rFonts w:ascii="Verdana" w:hAnsi="Verdana"/>
          <w:sz w:val="22"/>
        </w:rPr>
        <w:t>Manager, Commercial Credit Training Program (2 years).  Designed, implemented, and executed the standard curriculum used to develop prospective commercial account officers.  Taught classroom courses in accounting, finance, principles of commercial lending, as well as a case study series.  Successfully managed and trained 50 individuals over two year period.</w:t>
      </w:r>
    </w:p>
    <w:p w:rsidR="003B7868" w:rsidRDefault="003B7868" w:rsidP="002B04FC">
      <w:pPr>
        <w:jc w:val="both"/>
        <w:rPr>
          <w:rFonts w:ascii="Verdana" w:hAnsi="Verdana"/>
          <w:sz w:val="22"/>
          <w:u w:val="single"/>
        </w:rPr>
      </w:pPr>
    </w:p>
    <w:p w:rsidR="002B04FC" w:rsidRDefault="002B04FC" w:rsidP="002B04FC">
      <w:pPr>
        <w:jc w:val="both"/>
        <w:rPr>
          <w:rFonts w:ascii="Verdana" w:hAnsi="Verdana"/>
          <w:sz w:val="22"/>
        </w:rPr>
      </w:pPr>
      <w:r>
        <w:rPr>
          <w:rFonts w:ascii="Verdana" w:hAnsi="Verdana"/>
          <w:sz w:val="22"/>
          <w:u w:val="single"/>
        </w:rPr>
        <w:t>Other</w:t>
      </w:r>
      <w:r>
        <w:rPr>
          <w:rFonts w:ascii="Verdana" w:hAnsi="Verdana"/>
          <w:sz w:val="22"/>
        </w:rPr>
        <w:t xml:space="preserve"> </w:t>
      </w:r>
      <w:r>
        <w:rPr>
          <w:rFonts w:ascii="Verdana" w:hAnsi="Verdana"/>
          <w:sz w:val="22"/>
          <w:u w:val="single"/>
        </w:rPr>
        <w:t>Professional</w:t>
      </w:r>
      <w:r>
        <w:rPr>
          <w:rFonts w:ascii="Verdana" w:hAnsi="Verdana"/>
          <w:sz w:val="22"/>
        </w:rPr>
        <w:t xml:space="preserve"> </w:t>
      </w:r>
      <w:r>
        <w:rPr>
          <w:rFonts w:ascii="Verdana" w:hAnsi="Verdana"/>
          <w:sz w:val="22"/>
          <w:u w:val="single"/>
        </w:rPr>
        <w:t>Experience</w:t>
      </w:r>
    </w:p>
    <w:p w:rsidR="002B04FC" w:rsidRDefault="002B04FC" w:rsidP="002B04FC">
      <w:pPr>
        <w:jc w:val="both"/>
        <w:rPr>
          <w:rFonts w:ascii="Verdana" w:hAnsi="Verdana"/>
          <w:sz w:val="22"/>
        </w:rPr>
      </w:pPr>
    </w:p>
    <w:p w:rsidR="002B04FC" w:rsidRDefault="002B04FC" w:rsidP="002B04FC">
      <w:pPr>
        <w:numPr>
          <w:ilvl w:val="0"/>
          <w:numId w:val="15"/>
        </w:numPr>
        <w:jc w:val="both"/>
        <w:rPr>
          <w:rFonts w:ascii="Verdana" w:hAnsi="Verdana"/>
          <w:sz w:val="22"/>
        </w:rPr>
      </w:pPr>
      <w:r>
        <w:rPr>
          <w:rFonts w:ascii="Verdana" w:hAnsi="Verdana"/>
          <w:sz w:val="22"/>
        </w:rPr>
        <w:t>Faculty Member, University of Maryland University College, College Park, Maryland (part-time).  Taught two undergraduate courses: 1) Corporate Finance and 2) Security &amp; Investment Analysis.</w:t>
      </w:r>
    </w:p>
    <w:p w:rsidR="002B04FC" w:rsidRDefault="002B04FC" w:rsidP="002B04FC">
      <w:pPr>
        <w:jc w:val="both"/>
        <w:rPr>
          <w:rFonts w:ascii="Verdana" w:hAnsi="Verdana"/>
          <w:sz w:val="22"/>
        </w:rPr>
      </w:pPr>
    </w:p>
    <w:p w:rsidR="002B04FC" w:rsidRDefault="002B04FC" w:rsidP="002B04FC">
      <w:pPr>
        <w:numPr>
          <w:ilvl w:val="0"/>
          <w:numId w:val="16"/>
        </w:numPr>
        <w:jc w:val="both"/>
        <w:rPr>
          <w:rFonts w:ascii="Verdana" w:hAnsi="Verdana"/>
          <w:sz w:val="22"/>
        </w:rPr>
      </w:pPr>
      <w:r>
        <w:rPr>
          <w:rFonts w:ascii="Verdana" w:hAnsi="Verdana"/>
          <w:sz w:val="22"/>
        </w:rPr>
        <w:t xml:space="preserve">Maryland Banking School (jointly sponsored by the Maryland Bankers Association and the Robert H. Smith School of Business at the University of Maryland).  The Maryland Banking School is a one-week professional development seminar held each year primarily for the benefit of designated employees of community financial institutions in the state of Maryland.  Led case study seminar at the School for nine years.  </w:t>
      </w:r>
    </w:p>
    <w:p w:rsidR="002B04FC" w:rsidRDefault="002B04FC" w:rsidP="002B04FC">
      <w:pPr>
        <w:jc w:val="both"/>
        <w:rPr>
          <w:rFonts w:ascii="Verdana" w:hAnsi="Verdana"/>
          <w:sz w:val="22"/>
        </w:rPr>
      </w:pPr>
    </w:p>
    <w:p w:rsidR="002B04FC" w:rsidRDefault="002B04FC" w:rsidP="002B04FC">
      <w:pPr>
        <w:numPr>
          <w:ilvl w:val="0"/>
          <w:numId w:val="17"/>
        </w:numPr>
        <w:jc w:val="both"/>
        <w:rPr>
          <w:rFonts w:ascii="Verdana" w:hAnsi="Verdana"/>
          <w:sz w:val="22"/>
        </w:rPr>
      </w:pPr>
      <w:r>
        <w:rPr>
          <w:rFonts w:ascii="Verdana" w:hAnsi="Verdana"/>
          <w:sz w:val="22"/>
        </w:rPr>
        <w:t xml:space="preserve">Staff Assistant to U. S. Senator Herman E. Talmadge of Georgia (3 years).  Responsible for all legislative issues and constituent matters relating to the following federal departments: Treasury, Education, and Health and Human Services.  Researched issues and developed policy recommendations for </w:t>
      </w:r>
      <w:proofErr w:type="spellStart"/>
      <w:r>
        <w:rPr>
          <w:rFonts w:ascii="Verdana" w:hAnsi="Verdana"/>
          <w:sz w:val="22"/>
        </w:rPr>
        <w:t>legis-lative</w:t>
      </w:r>
      <w:proofErr w:type="spellEnd"/>
      <w:r>
        <w:rPr>
          <w:rFonts w:ascii="Verdana" w:hAnsi="Verdana"/>
          <w:sz w:val="22"/>
        </w:rPr>
        <w:t xml:space="preserve"> proposals.  Met with constituents and interest groups to discuss both pending legislation and executive and regulatory matters and also intervened whenever appropriate with executive departments and agencies to facilitate or negotiate administrative solutions for constituents.</w:t>
      </w:r>
    </w:p>
    <w:p w:rsidR="002B04FC" w:rsidRDefault="002B04FC" w:rsidP="002B04FC">
      <w:pPr>
        <w:jc w:val="both"/>
        <w:rPr>
          <w:rFonts w:ascii="Verdana" w:hAnsi="Verdana"/>
          <w:sz w:val="22"/>
        </w:rPr>
      </w:pPr>
    </w:p>
    <w:p w:rsidR="00242803" w:rsidRPr="00005BB8" w:rsidRDefault="002B04FC" w:rsidP="002B04FC">
      <w:pPr>
        <w:numPr>
          <w:ilvl w:val="0"/>
          <w:numId w:val="18"/>
        </w:numPr>
        <w:jc w:val="both"/>
        <w:rPr>
          <w:rFonts w:ascii="Verdana" w:hAnsi="Verdana"/>
          <w:sz w:val="22"/>
          <w:u w:val="single"/>
        </w:rPr>
      </w:pPr>
      <w:r w:rsidRPr="00005BB8">
        <w:rPr>
          <w:rFonts w:ascii="Verdana" w:hAnsi="Verdana"/>
          <w:sz w:val="22"/>
        </w:rPr>
        <w:t xml:space="preserve">Congressional Intern, Office of U. S. Representative Robert W. </w:t>
      </w:r>
      <w:proofErr w:type="spellStart"/>
      <w:r w:rsidRPr="00005BB8">
        <w:rPr>
          <w:rFonts w:ascii="Verdana" w:hAnsi="Verdana"/>
          <w:sz w:val="22"/>
        </w:rPr>
        <w:t>Kastenmeier</w:t>
      </w:r>
      <w:proofErr w:type="spellEnd"/>
      <w:r w:rsidRPr="00005BB8">
        <w:rPr>
          <w:rFonts w:ascii="Verdana" w:hAnsi="Verdana"/>
          <w:sz w:val="22"/>
        </w:rPr>
        <w:t xml:space="preserve"> of Wisconsin (3 months).</w:t>
      </w:r>
    </w:p>
    <w:p w:rsidR="00242803" w:rsidRDefault="00242803" w:rsidP="002B04FC">
      <w:pPr>
        <w:jc w:val="both"/>
        <w:rPr>
          <w:rFonts w:ascii="Verdana" w:hAnsi="Verdana"/>
          <w:sz w:val="22"/>
          <w:u w:val="single"/>
        </w:rPr>
      </w:pPr>
    </w:p>
    <w:p w:rsidR="001C64E3" w:rsidRDefault="001C64E3" w:rsidP="002B04FC">
      <w:pPr>
        <w:jc w:val="both"/>
        <w:rPr>
          <w:rFonts w:ascii="Verdana" w:hAnsi="Verdana"/>
          <w:sz w:val="22"/>
          <w:u w:val="single"/>
        </w:rPr>
      </w:pPr>
    </w:p>
    <w:p w:rsidR="001C64E3" w:rsidRDefault="001C64E3" w:rsidP="002B04FC">
      <w:pPr>
        <w:jc w:val="both"/>
        <w:rPr>
          <w:rFonts w:ascii="Verdana" w:hAnsi="Verdana"/>
          <w:sz w:val="22"/>
          <w:u w:val="single"/>
        </w:rPr>
      </w:pPr>
    </w:p>
    <w:p w:rsidR="001C64E3" w:rsidRDefault="001C64E3" w:rsidP="002B04FC">
      <w:pPr>
        <w:jc w:val="both"/>
        <w:rPr>
          <w:rFonts w:ascii="Verdana" w:hAnsi="Verdana"/>
          <w:sz w:val="22"/>
          <w:u w:val="single"/>
        </w:rPr>
      </w:pPr>
    </w:p>
    <w:p w:rsidR="001C64E3" w:rsidRDefault="001C64E3" w:rsidP="002B04FC">
      <w:pPr>
        <w:jc w:val="both"/>
        <w:rPr>
          <w:rFonts w:ascii="Verdana" w:hAnsi="Verdana"/>
          <w:sz w:val="22"/>
          <w:u w:val="single"/>
        </w:rPr>
      </w:pPr>
    </w:p>
    <w:p w:rsidR="001C64E3" w:rsidRDefault="001C64E3" w:rsidP="002B04FC">
      <w:pPr>
        <w:jc w:val="both"/>
        <w:rPr>
          <w:rFonts w:ascii="Verdana" w:hAnsi="Verdana"/>
          <w:sz w:val="22"/>
          <w:u w:val="single"/>
        </w:rPr>
      </w:pPr>
    </w:p>
    <w:p w:rsidR="001C64E3" w:rsidRDefault="001C64E3" w:rsidP="002B04FC">
      <w:pPr>
        <w:jc w:val="both"/>
        <w:rPr>
          <w:rFonts w:ascii="Verdana" w:hAnsi="Verdana"/>
          <w:sz w:val="22"/>
          <w:u w:val="single"/>
        </w:rPr>
      </w:pPr>
    </w:p>
    <w:p w:rsidR="002B04FC" w:rsidRDefault="002B04FC" w:rsidP="002B04FC">
      <w:pPr>
        <w:jc w:val="both"/>
        <w:rPr>
          <w:rFonts w:ascii="Verdana" w:hAnsi="Verdana"/>
          <w:sz w:val="22"/>
          <w:u w:val="single"/>
        </w:rPr>
      </w:pPr>
      <w:r>
        <w:rPr>
          <w:rFonts w:ascii="Verdana" w:hAnsi="Verdana"/>
          <w:sz w:val="22"/>
          <w:u w:val="single"/>
        </w:rPr>
        <w:lastRenderedPageBreak/>
        <w:t>Educational</w:t>
      </w:r>
      <w:r>
        <w:rPr>
          <w:rFonts w:ascii="Verdana" w:hAnsi="Verdana"/>
          <w:sz w:val="22"/>
        </w:rPr>
        <w:t xml:space="preserve"> </w:t>
      </w:r>
      <w:r>
        <w:rPr>
          <w:rFonts w:ascii="Verdana" w:hAnsi="Verdana"/>
          <w:sz w:val="22"/>
          <w:u w:val="single"/>
        </w:rPr>
        <w:t>Background</w:t>
      </w:r>
    </w:p>
    <w:p w:rsidR="002B04FC" w:rsidRDefault="002B04FC" w:rsidP="002B04FC">
      <w:pPr>
        <w:jc w:val="both"/>
        <w:rPr>
          <w:rFonts w:ascii="Verdana" w:hAnsi="Verdana"/>
          <w:sz w:val="22"/>
          <w:u w:val="single"/>
        </w:rPr>
      </w:pPr>
    </w:p>
    <w:p w:rsidR="002B04FC" w:rsidRDefault="002B04FC" w:rsidP="002B04FC">
      <w:pPr>
        <w:jc w:val="both"/>
        <w:rPr>
          <w:rFonts w:ascii="Verdana" w:hAnsi="Verdana"/>
          <w:sz w:val="22"/>
        </w:rPr>
      </w:pPr>
      <w:proofErr w:type="gramStart"/>
      <w:r>
        <w:rPr>
          <w:rFonts w:ascii="Verdana" w:hAnsi="Verdana"/>
          <w:sz w:val="22"/>
        </w:rPr>
        <w:t>Graduate of the MBA Program at the University of Maryland, College Park.</w:t>
      </w:r>
      <w:proofErr w:type="gramEnd"/>
      <w:r>
        <w:rPr>
          <w:rFonts w:ascii="Verdana" w:hAnsi="Verdana"/>
          <w:sz w:val="22"/>
        </w:rPr>
        <w:t xml:space="preserve">  </w:t>
      </w:r>
      <w:proofErr w:type="gramStart"/>
      <w:r>
        <w:rPr>
          <w:rFonts w:ascii="Verdana" w:hAnsi="Verdana"/>
          <w:sz w:val="22"/>
        </w:rPr>
        <w:t>Completed degree requirements in December 1980.</w:t>
      </w:r>
      <w:proofErr w:type="gramEnd"/>
      <w:r>
        <w:rPr>
          <w:rFonts w:ascii="Verdana" w:hAnsi="Verdana"/>
          <w:sz w:val="22"/>
        </w:rPr>
        <w:t xml:space="preserve">  Was a teaching assistant for graduate course in security and investment analysis and for an undergraduate business statistics </w:t>
      </w:r>
      <w:proofErr w:type="gramStart"/>
      <w:r>
        <w:rPr>
          <w:rFonts w:ascii="Verdana" w:hAnsi="Verdana"/>
          <w:sz w:val="22"/>
        </w:rPr>
        <w:t>course.</w:t>
      </w:r>
      <w:proofErr w:type="gramEnd"/>
    </w:p>
    <w:p w:rsidR="002B04FC" w:rsidRDefault="002B04FC" w:rsidP="002B04FC">
      <w:pPr>
        <w:jc w:val="both"/>
        <w:rPr>
          <w:rFonts w:ascii="Verdana" w:hAnsi="Verdana"/>
          <w:sz w:val="22"/>
        </w:rPr>
      </w:pPr>
    </w:p>
    <w:p w:rsidR="00B27434" w:rsidRDefault="002B04FC" w:rsidP="00EB3BC3">
      <w:pPr>
        <w:pStyle w:val="BodyText"/>
      </w:pPr>
      <w:proofErr w:type="gramStart"/>
      <w:r>
        <w:rPr>
          <w:rFonts w:ascii="Verdana" w:hAnsi="Verdana"/>
          <w:sz w:val="22"/>
          <w:szCs w:val="22"/>
        </w:rPr>
        <w:t>Earned BA degree in Political Science/International Relations from the University of Wisconsin, Madison, 1975.</w:t>
      </w:r>
      <w:proofErr w:type="gramEnd"/>
    </w:p>
    <w:sectPr w:rsidR="00B274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9A8" w:rsidRDefault="00CB59A8">
      <w:r>
        <w:separator/>
      </w:r>
    </w:p>
  </w:endnote>
  <w:endnote w:type="continuationSeparator" w:id="0">
    <w:p w:rsidR="00CB59A8" w:rsidRDefault="00CB5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838" w:rsidRDefault="00CF7A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B4838" w:rsidRDefault="00CB59A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838" w:rsidRDefault="00CF7A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7FC6">
      <w:rPr>
        <w:rStyle w:val="PageNumber"/>
        <w:noProof/>
      </w:rPr>
      <w:t>1</w:t>
    </w:r>
    <w:r>
      <w:rPr>
        <w:rStyle w:val="PageNumber"/>
      </w:rPr>
      <w:fldChar w:fldCharType="end"/>
    </w:r>
  </w:p>
  <w:p w:rsidR="00EB4838" w:rsidRDefault="00CB59A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9A8" w:rsidRDefault="00CB59A8">
      <w:r>
        <w:separator/>
      </w:r>
    </w:p>
  </w:footnote>
  <w:footnote w:type="continuationSeparator" w:id="0">
    <w:p w:rsidR="00CB59A8" w:rsidRDefault="00CB59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B7E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63946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71110D2"/>
    <w:multiLevelType w:val="multilevel"/>
    <w:tmpl w:val="E6A84B40"/>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
    <w:nsid w:val="1B287A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C2B47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6292B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2AD56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36BC0A4A"/>
    <w:multiLevelType w:val="hybridMultilevel"/>
    <w:tmpl w:val="5E4E50E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42A202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7DB5F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F1B16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581312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5E0400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63DA6C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641C5C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654D77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66121C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6D1506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6F6E0E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73CF28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7E33420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8"/>
  </w:num>
  <w:num w:numId="2">
    <w:abstractNumId w:val="10"/>
  </w:num>
  <w:num w:numId="3">
    <w:abstractNumId w:val="20"/>
  </w:num>
  <w:num w:numId="4">
    <w:abstractNumId w:val="14"/>
  </w:num>
  <w:num w:numId="5">
    <w:abstractNumId w:val="16"/>
  </w:num>
  <w:num w:numId="6">
    <w:abstractNumId w:val="5"/>
  </w:num>
  <w:num w:numId="7">
    <w:abstractNumId w:val="19"/>
  </w:num>
  <w:num w:numId="8">
    <w:abstractNumId w:val="11"/>
  </w:num>
  <w:num w:numId="9">
    <w:abstractNumId w:val="4"/>
  </w:num>
  <w:num w:numId="10">
    <w:abstractNumId w:val="0"/>
  </w:num>
  <w:num w:numId="11">
    <w:abstractNumId w:val="13"/>
  </w:num>
  <w:num w:numId="12">
    <w:abstractNumId w:val="8"/>
  </w:num>
  <w:num w:numId="13">
    <w:abstractNumId w:val="9"/>
  </w:num>
  <w:num w:numId="14">
    <w:abstractNumId w:val="12"/>
  </w:num>
  <w:num w:numId="15">
    <w:abstractNumId w:val="15"/>
  </w:num>
  <w:num w:numId="16">
    <w:abstractNumId w:val="1"/>
  </w:num>
  <w:num w:numId="17">
    <w:abstractNumId w:val="17"/>
  </w:num>
  <w:num w:numId="18">
    <w:abstractNumId w:val="6"/>
  </w:num>
  <w:num w:numId="19">
    <w:abstractNumId w:val="3"/>
  </w:num>
  <w:num w:numId="20">
    <w:abstractNumId w:val="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4FC"/>
    <w:rsid w:val="00000837"/>
    <w:rsid w:val="00005BB8"/>
    <w:rsid w:val="0001239F"/>
    <w:rsid w:val="00064824"/>
    <w:rsid w:val="0007486F"/>
    <w:rsid w:val="000B7A25"/>
    <w:rsid w:val="000C126E"/>
    <w:rsid w:val="000D75E6"/>
    <w:rsid w:val="000F3A6C"/>
    <w:rsid w:val="001822F7"/>
    <w:rsid w:val="001B5160"/>
    <w:rsid w:val="001B695C"/>
    <w:rsid w:val="001C64E3"/>
    <w:rsid w:val="001D5185"/>
    <w:rsid w:val="001E6284"/>
    <w:rsid w:val="002172AA"/>
    <w:rsid w:val="002354A7"/>
    <w:rsid w:val="00242803"/>
    <w:rsid w:val="00256604"/>
    <w:rsid w:val="002626EB"/>
    <w:rsid w:val="00262C90"/>
    <w:rsid w:val="0027680A"/>
    <w:rsid w:val="002B04FC"/>
    <w:rsid w:val="00300796"/>
    <w:rsid w:val="00304B02"/>
    <w:rsid w:val="00305D5A"/>
    <w:rsid w:val="00377C1E"/>
    <w:rsid w:val="0039090B"/>
    <w:rsid w:val="00391037"/>
    <w:rsid w:val="003B7868"/>
    <w:rsid w:val="003F0C3F"/>
    <w:rsid w:val="00434161"/>
    <w:rsid w:val="00472C94"/>
    <w:rsid w:val="00491E93"/>
    <w:rsid w:val="00495A7D"/>
    <w:rsid w:val="00496F64"/>
    <w:rsid w:val="004A29AC"/>
    <w:rsid w:val="004D14F4"/>
    <w:rsid w:val="004E354E"/>
    <w:rsid w:val="005109C1"/>
    <w:rsid w:val="005150B8"/>
    <w:rsid w:val="00525FB2"/>
    <w:rsid w:val="0053204A"/>
    <w:rsid w:val="005614D5"/>
    <w:rsid w:val="00585B56"/>
    <w:rsid w:val="005B4478"/>
    <w:rsid w:val="005D3207"/>
    <w:rsid w:val="005F5669"/>
    <w:rsid w:val="00630FF8"/>
    <w:rsid w:val="0066658C"/>
    <w:rsid w:val="00672A6D"/>
    <w:rsid w:val="006953B7"/>
    <w:rsid w:val="006C214E"/>
    <w:rsid w:val="006D745F"/>
    <w:rsid w:val="006F4CC7"/>
    <w:rsid w:val="00712B4E"/>
    <w:rsid w:val="00737A2A"/>
    <w:rsid w:val="00740A34"/>
    <w:rsid w:val="00746131"/>
    <w:rsid w:val="00755F73"/>
    <w:rsid w:val="00767908"/>
    <w:rsid w:val="00774497"/>
    <w:rsid w:val="007752AD"/>
    <w:rsid w:val="0078487E"/>
    <w:rsid w:val="007B78E9"/>
    <w:rsid w:val="007C0999"/>
    <w:rsid w:val="008139C9"/>
    <w:rsid w:val="008A1877"/>
    <w:rsid w:val="008B46FD"/>
    <w:rsid w:val="008B6C02"/>
    <w:rsid w:val="008C6B69"/>
    <w:rsid w:val="008D6342"/>
    <w:rsid w:val="0090508A"/>
    <w:rsid w:val="00915872"/>
    <w:rsid w:val="00966386"/>
    <w:rsid w:val="009C4EE4"/>
    <w:rsid w:val="009D5473"/>
    <w:rsid w:val="009F7B31"/>
    <w:rsid w:val="00A00F3E"/>
    <w:rsid w:val="00A0484E"/>
    <w:rsid w:val="00A25C32"/>
    <w:rsid w:val="00A92E37"/>
    <w:rsid w:val="00B27434"/>
    <w:rsid w:val="00B83571"/>
    <w:rsid w:val="00BF4229"/>
    <w:rsid w:val="00BF579D"/>
    <w:rsid w:val="00BF7FC6"/>
    <w:rsid w:val="00C0328E"/>
    <w:rsid w:val="00C437A5"/>
    <w:rsid w:val="00C57EC0"/>
    <w:rsid w:val="00C66268"/>
    <w:rsid w:val="00C96EDA"/>
    <w:rsid w:val="00CB59A8"/>
    <w:rsid w:val="00CE41B6"/>
    <w:rsid w:val="00CF7AEA"/>
    <w:rsid w:val="00D67D41"/>
    <w:rsid w:val="00DA00C8"/>
    <w:rsid w:val="00DD75F2"/>
    <w:rsid w:val="00DF3127"/>
    <w:rsid w:val="00E32D7B"/>
    <w:rsid w:val="00E4092B"/>
    <w:rsid w:val="00E47432"/>
    <w:rsid w:val="00E90691"/>
    <w:rsid w:val="00EB3BC3"/>
    <w:rsid w:val="00EC381A"/>
    <w:rsid w:val="00EC4A40"/>
    <w:rsid w:val="00F330AC"/>
    <w:rsid w:val="00F46351"/>
    <w:rsid w:val="00F83221"/>
    <w:rsid w:val="00FA6782"/>
    <w:rsid w:val="00FA7DF1"/>
    <w:rsid w:val="00FC6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4F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B04FC"/>
    <w:pPr>
      <w:keepNext/>
      <w:ind w:left="720"/>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B04FC"/>
    <w:pPr>
      <w:jc w:val="center"/>
    </w:pPr>
    <w:rPr>
      <w:b/>
      <w:sz w:val="24"/>
    </w:rPr>
  </w:style>
  <w:style w:type="character" w:customStyle="1" w:styleId="TitleChar">
    <w:name w:val="Title Char"/>
    <w:basedOn w:val="DefaultParagraphFont"/>
    <w:link w:val="Title"/>
    <w:rsid w:val="002B04FC"/>
    <w:rPr>
      <w:rFonts w:ascii="Times New Roman" w:eastAsia="Times New Roman" w:hAnsi="Times New Roman" w:cs="Times New Roman"/>
      <w:b/>
      <w:sz w:val="24"/>
      <w:szCs w:val="20"/>
    </w:rPr>
  </w:style>
  <w:style w:type="character" w:customStyle="1" w:styleId="Heading1Char">
    <w:name w:val="Heading 1 Char"/>
    <w:basedOn w:val="DefaultParagraphFont"/>
    <w:link w:val="Heading1"/>
    <w:rsid w:val="002B04FC"/>
    <w:rPr>
      <w:rFonts w:ascii="Times New Roman" w:eastAsia="Times New Roman" w:hAnsi="Times New Roman" w:cs="Times New Roman"/>
      <w:sz w:val="24"/>
      <w:szCs w:val="20"/>
    </w:rPr>
  </w:style>
  <w:style w:type="paragraph" w:styleId="BodyText">
    <w:name w:val="Body Text"/>
    <w:basedOn w:val="Normal"/>
    <w:link w:val="BodyTextChar"/>
    <w:semiHidden/>
    <w:rsid w:val="002B04FC"/>
    <w:pPr>
      <w:jc w:val="both"/>
    </w:pPr>
    <w:rPr>
      <w:sz w:val="24"/>
    </w:rPr>
  </w:style>
  <w:style w:type="character" w:customStyle="1" w:styleId="BodyTextChar">
    <w:name w:val="Body Text Char"/>
    <w:basedOn w:val="DefaultParagraphFont"/>
    <w:link w:val="BodyText"/>
    <w:semiHidden/>
    <w:rsid w:val="002B04FC"/>
    <w:rPr>
      <w:rFonts w:ascii="Times New Roman" w:eastAsia="Times New Roman" w:hAnsi="Times New Roman" w:cs="Times New Roman"/>
      <w:sz w:val="24"/>
      <w:szCs w:val="20"/>
    </w:rPr>
  </w:style>
  <w:style w:type="paragraph" w:styleId="Footer">
    <w:name w:val="footer"/>
    <w:basedOn w:val="Normal"/>
    <w:link w:val="FooterChar"/>
    <w:semiHidden/>
    <w:rsid w:val="002B04FC"/>
    <w:pPr>
      <w:tabs>
        <w:tab w:val="center" w:pos="4320"/>
        <w:tab w:val="right" w:pos="8640"/>
      </w:tabs>
    </w:pPr>
  </w:style>
  <w:style w:type="character" w:customStyle="1" w:styleId="FooterChar">
    <w:name w:val="Footer Char"/>
    <w:basedOn w:val="DefaultParagraphFont"/>
    <w:link w:val="Footer"/>
    <w:semiHidden/>
    <w:rsid w:val="002B04FC"/>
    <w:rPr>
      <w:rFonts w:ascii="Times New Roman" w:eastAsia="Times New Roman" w:hAnsi="Times New Roman" w:cs="Times New Roman"/>
      <w:sz w:val="20"/>
      <w:szCs w:val="20"/>
    </w:rPr>
  </w:style>
  <w:style w:type="character" w:styleId="PageNumber">
    <w:name w:val="page number"/>
    <w:basedOn w:val="DefaultParagraphFont"/>
    <w:semiHidden/>
    <w:rsid w:val="002B04FC"/>
  </w:style>
  <w:style w:type="paragraph" w:styleId="ListParagraph">
    <w:name w:val="List Paragraph"/>
    <w:basedOn w:val="Normal"/>
    <w:uiPriority w:val="34"/>
    <w:qFormat/>
    <w:rsid w:val="00D67D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4F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B04FC"/>
    <w:pPr>
      <w:keepNext/>
      <w:ind w:left="720"/>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B04FC"/>
    <w:pPr>
      <w:jc w:val="center"/>
    </w:pPr>
    <w:rPr>
      <w:b/>
      <w:sz w:val="24"/>
    </w:rPr>
  </w:style>
  <w:style w:type="character" w:customStyle="1" w:styleId="TitleChar">
    <w:name w:val="Title Char"/>
    <w:basedOn w:val="DefaultParagraphFont"/>
    <w:link w:val="Title"/>
    <w:rsid w:val="002B04FC"/>
    <w:rPr>
      <w:rFonts w:ascii="Times New Roman" w:eastAsia="Times New Roman" w:hAnsi="Times New Roman" w:cs="Times New Roman"/>
      <w:b/>
      <w:sz w:val="24"/>
      <w:szCs w:val="20"/>
    </w:rPr>
  </w:style>
  <w:style w:type="character" w:customStyle="1" w:styleId="Heading1Char">
    <w:name w:val="Heading 1 Char"/>
    <w:basedOn w:val="DefaultParagraphFont"/>
    <w:link w:val="Heading1"/>
    <w:rsid w:val="002B04FC"/>
    <w:rPr>
      <w:rFonts w:ascii="Times New Roman" w:eastAsia="Times New Roman" w:hAnsi="Times New Roman" w:cs="Times New Roman"/>
      <w:sz w:val="24"/>
      <w:szCs w:val="20"/>
    </w:rPr>
  </w:style>
  <w:style w:type="paragraph" w:styleId="BodyText">
    <w:name w:val="Body Text"/>
    <w:basedOn w:val="Normal"/>
    <w:link w:val="BodyTextChar"/>
    <w:semiHidden/>
    <w:rsid w:val="002B04FC"/>
    <w:pPr>
      <w:jc w:val="both"/>
    </w:pPr>
    <w:rPr>
      <w:sz w:val="24"/>
    </w:rPr>
  </w:style>
  <w:style w:type="character" w:customStyle="1" w:styleId="BodyTextChar">
    <w:name w:val="Body Text Char"/>
    <w:basedOn w:val="DefaultParagraphFont"/>
    <w:link w:val="BodyText"/>
    <w:semiHidden/>
    <w:rsid w:val="002B04FC"/>
    <w:rPr>
      <w:rFonts w:ascii="Times New Roman" w:eastAsia="Times New Roman" w:hAnsi="Times New Roman" w:cs="Times New Roman"/>
      <w:sz w:val="24"/>
      <w:szCs w:val="20"/>
    </w:rPr>
  </w:style>
  <w:style w:type="paragraph" w:styleId="Footer">
    <w:name w:val="footer"/>
    <w:basedOn w:val="Normal"/>
    <w:link w:val="FooterChar"/>
    <w:semiHidden/>
    <w:rsid w:val="002B04FC"/>
    <w:pPr>
      <w:tabs>
        <w:tab w:val="center" w:pos="4320"/>
        <w:tab w:val="right" w:pos="8640"/>
      </w:tabs>
    </w:pPr>
  </w:style>
  <w:style w:type="character" w:customStyle="1" w:styleId="FooterChar">
    <w:name w:val="Footer Char"/>
    <w:basedOn w:val="DefaultParagraphFont"/>
    <w:link w:val="Footer"/>
    <w:semiHidden/>
    <w:rsid w:val="002B04FC"/>
    <w:rPr>
      <w:rFonts w:ascii="Times New Roman" w:eastAsia="Times New Roman" w:hAnsi="Times New Roman" w:cs="Times New Roman"/>
      <w:sz w:val="20"/>
      <w:szCs w:val="20"/>
    </w:rPr>
  </w:style>
  <w:style w:type="character" w:styleId="PageNumber">
    <w:name w:val="page number"/>
    <w:basedOn w:val="DefaultParagraphFont"/>
    <w:semiHidden/>
    <w:rsid w:val="002B04FC"/>
  </w:style>
  <w:style w:type="paragraph" w:styleId="ListParagraph">
    <w:name w:val="List Paragraph"/>
    <w:basedOn w:val="Normal"/>
    <w:uiPriority w:val="34"/>
    <w:qFormat/>
    <w:rsid w:val="00D67D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14</Pages>
  <Words>5459</Words>
  <Characters>31121</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3</cp:revision>
  <dcterms:created xsi:type="dcterms:W3CDTF">2017-05-09T21:43:00Z</dcterms:created>
  <dcterms:modified xsi:type="dcterms:W3CDTF">2017-05-09T21:44:00Z</dcterms:modified>
</cp:coreProperties>
</file>